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28AF74C">
      <w:pPr>
        <w:adjustRightInd w:val="0"/>
        <w:snapToGrid w:val="0"/>
        <w:jc w:val="center"/>
        <w:rPr>
          <w:rFonts w:hint="eastAsia" w:ascii="黑体" w:hAnsi="黑体" w:eastAsia="黑体" w:cs="黑体"/>
          <w:bCs/>
          <w:color w:val="000000"/>
          <w:sz w:val="36"/>
          <w:szCs w:val="36"/>
        </w:rPr>
      </w:pPr>
      <w:bookmarkStart w:id="2" w:name="_GoBack"/>
      <w:bookmarkEnd w:id="2"/>
      <w:r>
        <w:rPr>
          <w:rFonts w:hint="eastAsia" w:ascii="黑体" w:hAnsi="黑体" w:eastAsia="黑体" w:cs="黑体"/>
          <w:bCs/>
          <w:color w:val="000000"/>
          <w:sz w:val="36"/>
          <w:szCs w:val="36"/>
        </w:rPr>
        <w:t>理论经济学020100</w:t>
      </w:r>
    </w:p>
    <w:p w14:paraId="5EC46018">
      <w:pPr>
        <w:adjustRightInd w:val="0"/>
        <w:snapToGrid w:val="0"/>
        <w:jc w:val="center"/>
        <w:rPr>
          <w:rFonts w:hint="eastAsia" w:ascii="黑体" w:hAnsi="黑体" w:eastAsia="黑体" w:cs="黑体"/>
          <w:b/>
          <w:color w:val="000000"/>
          <w:sz w:val="36"/>
          <w:szCs w:val="36"/>
        </w:rPr>
      </w:pPr>
    </w:p>
    <w:p w14:paraId="1B91AB1E">
      <w:pPr>
        <w:keepNext w:val="0"/>
        <w:keepLines w:val="0"/>
        <w:widowControl/>
        <w:suppressLineNumbers w:val="0"/>
        <w:jc w:val="left"/>
        <w:rPr>
          <w:rFonts w:hint="eastAsia" w:ascii="宋体" w:hAnsi="宋体" w:cs="宋体"/>
          <w:sz w:val="24"/>
          <w:szCs w:val="24"/>
        </w:rPr>
      </w:pPr>
      <w:r>
        <w:rPr>
          <w:rFonts w:hint="eastAsia" w:ascii="宋体" w:hAnsi="宋体" w:cs="宋体"/>
          <w:b/>
          <w:sz w:val="24"/>
          <w:szCs w:val="24"/>
        </w:rPr>
        <w:t>学科点简介:</w:t>
      </w:r>
      <w:r>
        <w:rPr>
          <w:rFonts w:hint="eastAsia"/>
        </w:rPr>
        <w:t xml:space="preserve"> </w:t>
      </w:r>
      <w:r>
        <w:rPr>
          <w:rFonts w:hint="eastAsia" w:ascii="宋体" w:hAnsi="宋体" w:cs="宋体"/>
          <w:sz w:val="24"/>
          <w:szCs w:val="24"/>
        </w:rPr>
        <w:t>理论经济学是广东省特色重点学科，由广东财经大学、佛山市人民政府、华中科技大学三方共建，具有学校重点建设、地方政府重点支持和国内名校共建的发展优势。拥有博士后科研工作站、广东省特色新型智库广东数字经济研究院等多个国家级、省级平台，有“新世纪百千万人才工程”国家及省级高层次人才9人。</w:t>
      </w:r>
      <w:r>
        <w:rPr>
          <w:rFonts w:hint="eastAsia" w:ascii="宋体" w:hAnsi="宋体" w:cs="宋体"/>
          <w:sz w:val="24"/>
          <w:szCs w:val="24"/>
          <w:lang w:val="en-US" w:eastAsia="zh-CN"/>
        </w:rPr>
        <w:t>在2023软科“中国最好学科”排名中，我校理论经济学位列全国第46名，</w:t>
      </w:r>
      <w:r>
        <w:rPr>
          <w:rFonts w:hint="eastAsia" w:ascii="宋体" w:hAnsi="宋体" w:cs="宋体"/>
          <w:sz w:val="24"/>
          <w:szCs w:val="24"/>
        </w:rPr>
        <w:t>该硕士点有教授</w:t>
      </w:r>
      <w:r>
        <w:rPr>
          <w:rFonts w:hint="eastAsia" w:ascii="宋体" w:hAnsi="宋体" w:cs="宋体"/>
          <w:sz w:val="24"/>
          <w:szCs w:val="24"/>
          <w:lang w:val="en-US" w:eastAsia="zh-CN"/>
        </w:rPr>
        <w:t>7</w:t>
      </w:r>
      <w:r>
        <w:rPr>
          <w:rFonts w:hint="eastAsia" w:ascii="宋体" w:hAnsi="宋体" w:cs="宋体"/>
          <w:sz w:val="24"/>
          <w:szCs w:val="24"/>
        </w:rPr>
        <w:t>人、副教授1</w:t>
      </w:r>
      <w:r>
        <w:rPr>
          <w:rFonts w:hint="eastAsia" w:ascii="宋体" w:hAnsi="宋体" w:cs="宋体"/>
          <w:sz w:val="24"/>
          <w:szCs w:val="24"/>
          <w:lang w:val="en-US" w:eastAsia="zh-CN"/>
        </w:rPr>
        <w:t>6</w:t>
      </w:r>
      <w:r>
        <w:rPr>
          <w:rFonts w:hint="eastAsia" w:ascii="宋体" w:hAnsi="宋体" w:cs="宋体"/>
          <w:sz w:val="24"/>
          <w:szCs w:val="24"/>
        </w:rPr>
        <w:t>人、博士生导师2人，近五年主持国家社科重大、重点项目2项、国家社科自科项目3</w:t>
      </w:r>
      <w:r>
        <w:rPr>
          <w:rFonts w:ascii="宋体" w:hAnsi="宋体" w:cs="宋体"/>
          <w:sz w:val="24"/>
          <w:szCs w:val="24"/>
        </w:rPr>
        <w:t>0</w:t>
      </w:r>
      <w:r>
        <w:rPr>
          <w:rFonts w:hint="eastAsia" w:ascii="宋体" w:hAnsi="宋体" w:cs="宋体"/>
          <w:sz w:val="24"/>
          <w:szCs w:val="24"/>
        </w:rPr>
        <w:t>多项，在SSCI和CSSCI期刊发表论文上百篇，获省部级以上奖励8项 ，</w:t>
      </w:r>
      <w:r>
        <w:rPr>
          <w:rFonts w:hint="eastAsia" w:ascii="宋体" w:hAnsi="宋体" w:cs="宋体"/>
          <w:sz w:val="24"/>
          <w:szCs w:val="24"/>
          <w:lang w:val="en-US" w:eastAsia="zh-CN"/>
        </w:rPr>
        <w:t>20</w:t>
      </w:r>
      <w:r>
        <w:rPr>
          <w:rFonts w:hint="eastAsia" w:ascii="宋体" w:hAnsi="宋体" w:cs="宋体"/>
          <w:sz w:val="24"/>
          <w:szCs w:val="24"/>
        </w:rPr>
        <w:t>多篇咨询报告获</w:t>
      </w:r>
      <w:r>
        <w:rPr>
          <w:rFonts w:hint="eastAsia" w:ascii="宋体" w:hAnsi="宋体" w:cs="宋体"/>
          <w:sz w:val="24"/>
          <w:szCs w:val="24"/>
          <w:lang w:val="en-US" w:eastAsia="zh-CN"/>
        </w:rPr>
        <w:t>中央</w:t>
      </w:r>
      <w:r>
        <w:rPr>
          <w:rFonts w:hint="eastAsia" w:ascii="宋体" w:hAnsi="宋体" w:cs="宋体"/>
          <w:sz w:val="24"/>
          <w:szCs w:val="24"/>
        </w:rPr>
        <w:t>主要领导、省部级领导的肯定性批示。</w:t>
      </w:r>
    </w:p>
    <w:p w14:paraId="537C5C43">
      <w:pPr>
        <w:adjustRightInd w:val="0"/>
        <w:snapToGrid w:val="0"/>
        <w:rPr>
          <w:rFonts w:hint="eastAsia" w:ascii="宋体" w:hAnsi="宋体" w:cs="宋体"/>
          <w:sz w:val="24"/>
          <w:szCs w:val="24"/>
        </w:rPr>
      </w:pPr>
    </w:p>
    <w:p w14:paraId="65BE0772">
      <w:pPr>
        <w:adjustRightInd w:val="0"/>
        <w:snapToGrid w:val="0"/>
        <w:rPr>
          <w:rFonts w:hint="eastAsia" w:ascii="宋体" w:hAnsi="宋体" w:cs="宋体"/>
          <w:color w:val="000000"/>
          <w:sz w:val="24"/>
          <w:szCs w:val="24"/>
        </w:rPr>
      </w:pPr>
      <w:r>
        <w:rPr>
          <w:rFonts w:hint="eastAsia" w:ascii="宋体" w:hAnsi="宋体" w:cs="宋体"/>
          <w:b/>
          <w:sz w:val="24"/>
          <w:szCs w:val="24"/>
        </w:rPr>
        <w:t>培养目标</w:t>
      </w:r>
      <w:r>
        <w:rPr>
          <w:rFonts w:hint="eastAsia" w:ascii="宋体" w:hAnsi="宋体" w:cs="宋体"/>
          <w:b/>
          <w:color w:val="000000"/>
          <w:sz w:val="24"/>
          <w:szCs w:val="24"/>
        </w:rPr>
        <w:t>:</w:t>
      </w:r>
      <w:r>
        <w:rPr>
          <w:rFonts w:hint="eastAsia"/>
        </w:rPr>
        <w:t xml:space="preserve"> </w:t>
      </w:r>
      <w:r>
        <w:rPr>
          <w:rFonts w:hint="eastAsia" w:ascii="宋体" w:hAnsi="宋体" w:cs="宋体"/>
          <w:color w:val="000000"/>
          <w:sz w:val="24"/>
          <w:szCs w:val="24"/>
        </w:rPr>
        <w:t>立德树人，立足广东、服务粤港澳、面向国家经济社会发展需求，培养具备扎实的经济学理论知识，掌握现代经济学研究方法和分析工具，具有国际视野和较强的国际交流能力，能够对现实经济问题进行分析、研究和提出解决方案，具有继续深造学习的基础和能力，能够胜任科学理论研究、经济管理的高级专门人才。</w:t>
      </w:r>
    </w:p>
    <w:p w14:paraId="5C16FF34">
      <w:pPr>
        <w:adjustRightInd w:val="0"/>
        <w:snapToGrid w:val="0"/>
        <w:rPr>
          <w:rFonts w:hint="eastAsia" w:ascii="宋体" w:hAnsi="宋体" w:cs="宋体"/>
          <w:color w:val="000000"/>
          <w:sz w:val="24"/>
          <w:szCs w:val="24"/>
        </w:rPr>
      </w:pPr>
    </w:p>
    <w:p w14:paraId="536F9C77">
      <w:pPr>
        <w:adjustRightInd w:val="0"/>
        <w:snapToGrid w:val="0"/>
        <w:rPr>
          <w:rFonts w:hint="eastAsia" w:ascii="宋体" w:hAnsi="宋体" w:cs="宋体"/>
          <w:color w:val="000000"/>
          <w:sz w:val="24"/>
          <w:szCs w:val="24"/>
        </w:rPr>
      </w:pPr>
      <w:r>
        <w:rPr>
          <w:rFonts w:hint="eastAsia" w:ascii="宋体" w:hAnsi="宋体" w:cs="宋体"/>
          <w:b/>
          <w:sz w:val="24"/>
          <w:szCs w:val="24"/>
        </w:rPr>
        <w:t>主要课程:</w:t>
      </w:r>
      <w:r>
        <w:rPr>
          <w:rFonts w:hint="eastAsia" w:ascii="宋体" w:hAnsi="宋体" w:cs="宋体"/>
          <w:sz w:val="24"/>
          <w:szCs w:val="24"/>
        </w:rPr>
        <w:t>中级</w:t>
      </w:r>
      <w:r>
        <w:rPr>
          <w:rFonts w:hint="eastAsia" w:ascii="宋体" w:hAnsi="宋体" w:cs="宋体"/>
          <w:color w:val="000000"/>
          <w:sz w:val="24"/>
          <w:szCs w:val="24"/>
        </w:rPr>
        <w:t>微观经济学、</w:t>
      </w:r>
      <w:r>
        <w:rPr>
          <w:rFonts w:hint="eastAsia" w:ascii="宋体" w:hAnsi="宋体" w:cs="宋体"/>
          <w:sz w:val="24"/>
          <w:szCs w:val="24"/>
        </w:rPr>
        <w:t>中级</w:t>
      </w:r>
      <w:r>
        <w:rPr>
          <w:rFonts w:hint="eastAsia" w:ascii="宋体" w:hAnsi="宋体" w:cs="宋体"/>
          <w:color w:val="000000"/>
          <w:sz w:val="24"/>
          <w:szCs w:val="24"/>
        </w:rPr>
        <w:t>宏观经济学、中级计量经济学、中国特色社会主义政治经济学、</w:t>
      </w:r>
      <w:r>
        <w:rPr>
          <w:rFonts w:hint="eastAsia" w:ascii="宋体" w:hAnsi="宋体" w:cs="宋体"/>
          <w:color w:val="000000"/>
          <w:sz w:val="24"/>
          <w:szCs w:val="24"/>
          <w:lang w:val="en-US" w:eastAsia="zh-CN"/>
        </w:rPr>
        <w:t>经济思想史与经济史、</w:t>
      </w:r>
      <w:r>
        <w:rPr>
          <w:rFonts w:hint="eastAsia" w:ascii="宋体" w:hAnsi="宋体" w:cs="宋体"/>
          <w:color w:val="000000"/>
          <w:sz w:val="24"/>
          <w:szCs w:val="24"/>
        </w:rPr>
        <w:t>中国经济与改革发展专题、</w:t>
      </w:r>
      <w:r>
        <w:rPr>
          <w:rFonts w:hint="eastAsia" w:ascii="宋体" w:hAnsi="宋体" w:cs="宋体"/>
          <w:color w:val="000000"/>
          <w:sz w:val="24"/>
          <w:szCs w:val="24"/>
          <w:lang w:val="en-US" w:eastAsia="zh-CN"/>
        </w:rPr>
        <w:t>数理经济学、</w:t>
      </w:r>
      <w:r>
        <w:rPr>
          <w:rFonts w:hint="eastAsia" w:ascii="宋体" w:hAnsi="宋体" w:cs="宋体"/>
          <w:color w:val="000000"/>
          <w:sz w:val="24"/>
          <w:szCs w:val="24"/>
        </w:rPr>
        <w:t>经济学研究方法、资源与环境经济学、西方经济学前沿、世界经济、新制度经济学、</w:t>
      </w:r>
      <w:r>
        <w:rPr>
          <w:rFonts w:hint="eastAsia" w:ascii="宋体" w:hAnsi="宋体" w:cs="宋体"/>
          <w:color w:val="000000"/>
          <w:sz w:val="24"/>
          <w:szCs w:val="24"/>
          <w:lang w:val="en-US" w:eastAsia="zh-CN"/>
        </w:rPr>
        <w:t>人工智能与深度学习、</w:t>
      </w:r>
      <w:r>
        <w:rPr>
          <w:rFonts w:hint="eastAsia" w:ascii="宋体" w:hAnsi="宋体" w:cs="宋体"/>
          <w:color w:val="000000"/>
          <w:sz w:val="24"/>
          <w:szCs w:val="24"/>
        </w:rPr>
        <w:t>佛山特色发展专题</w:t>
      </w:r>
    </w:p>
    <w:p w14:paraId="281BDC40">
      <w:pPr>
        <w:adjustRightInd w:val="0"/>
        <w:snapToGrid w:val="0"/>
        <w:rPr>
          <w:rFonts w:hint="eastAsia" w:ascii="宋体" w:hAnsi="宋体" w:cs="宋体"/>
          <w:color w:val="000000"/>
          <w:sz w:val="24"/>
          <w:szCs w:val="24"/>
        </w:rPr>
      </w:pPr>
    </w:p>
    <w:p w14:paraId="5AAF8665">
      <w:pPr>
        <w:adjustRightInd w:val="0"/>
        <w:snapToGrid w:val="0"/>
        <w:rPr>
          <w:rFonts w:hint="eastAsia" w:ascii="宋体" w:hAnsi="宋体" w:cs="宋体"/>
          <w:b/>
          <w:color w:val="000000"/>
          <w:sz w:val="24"/>
          <w:szCs w:val="24"/>
        </w:rPr>
      </w:pPr>
      <w:r>
        <w:rPr>
          <w:rFonts w:hint="eastAsia" w:ascii="宋体" w:hAnsi="宋体" w:cs="宋体"/>
          <w:b/>
          <w:color w:val="000000"/>
          <w:sz w:val="24"/>
          <w:szCs w:val="24"/>
        </w:rPr>
        <w:t>社会实践：</w:t>
      </w:r>
      <w:r>
        <w:rPr>
          <w:rFonts w:hint="eastAsia" w:ascii="宋体" w:hAnsi="宋体" w:cs="宋体"/>
          <w:color w:val="000000"/>
          <w:sz w:val="24"/>
          <w:szCs w:val="24"/>
        </w:rPr>
        <w:t>除学校安排和学生自主实习外，与佛山市人民政府共建研究生实习实践基地，请佛山市各政府部门、企业行业相关人员担任校外导师，研究生在最后一学年还可在校外导师指导下进入佛山市有关政府部门实习实践。</w:t>
      </w:r>
    </w:p>
    <w:p w14:paraId="5EB86A33">
      <w:pPr>
        <w:adjustRightInd w:val="0"/>
        <w:snapToGrid w:val="0"/>
        <w:rPr>
          <w:rFonts w:hint="eastAsia" w:ascii="宋体" w:hAnsi="宋体" w:cs="宋体"/>
          <w:b/>
          <w:color w:val="000000"/>
          <w:sz w:val="24"/>
          <w:szCs w:val="24"/>
        </w:rPr>
      </w:pPr>
    </w:p>
    <w:p w14:paraId="70D8C9BE">
      <w:pPr>
        <w:adjustRightInd w:val="0"/>
        <w:snapToGrid w:val="0"/>
        <w:rPr>
          <w:rFonts w:hint="eastAsia" w:ascii="宋体" w:hAnsi="宋体" w:cs="宋体"/>
          <w:b/>
          <w:color w:val="000000"/>
          <w:sz w:val="24"/>
          <w:szCs w:val="24"/>
        </w:rPr>
      </w:pPr>
      <w:r>
        <w:rPr>
          <w:rFonts w:hint="eastAsia" w:ascii="宋体" w:hAnsi="宋体" w:cs="宋体"/>
          <w:b/>
          <w:color w:val="000000"/>
          <w:sz w:val="24"/>
          <w:szCs w:val="24"/>
        </w:rPr>
        <w:t>就业方向:</w:t>
      </w:r>
      <w:r>
        <w:rPr>
          <w:rFonts w:hint="eastAsia" w:ascii="宋体" w:hAnsi="宋体" w:cs="宋体"/>
          <w:color w:val="000000"/>
          <w:sz w:val="24"/>
          <w:szCs w:val="24"/>
        </w:rPr>
        <w:t>政府管理部门、教学和单位、公司；还可继续求学深造，报考相关学科门类的博士研究生。</w:t>
      </w:r>
    </w:p>
    <w:p w14:paraId="02CF3477">
      <w:pPr>
        <w:adjustRightInd w:val="0"/>
        <w:snapToGrid w:val="0"/>
        <w:ind w:left="160" w:leftChars="76" w:firstLine="472" w:firstLineChars="196"/>
        <w:rPr>
          <w:rFonts w:hint="eastAsia" w:ascii="宋体" w:hAnsi="宋体" w:cs="宋体"/>
          <w:b/>
          <w:color w:val="000000"/>
          <w:sz w:val="24"/>
          <w:szCs w:val="24"/>
        </w:rPr>
      </w:pPr>
    </w:p>
    <w:p w14:paraId="6B9809EB">
      <w:pPr>
        <w:adjustRightInd w:val="0"/>
        <w:snapToGrid w:val="0"/>
        <w:jc w:val="center"/>
        <w:rPr>
          <w:rFonts w:hint="eastAsia" w:ascii="宋体" w:hAnsi="宋体" w:cs="宋体"/>
          <w:b/>
          <w:color w:val="000000"/>
          <w:sz w:val="24"/>
          <w:szCs w:val="24"/>
        </w:rPr>
      </w:pPr>
      <w:r>
        <w:rPr>
          <w:rFonts w:hint="eastAsia" w:ascii="宋体" w:hAnsi="宋体" w:cs="宋体"/>
          <w:b/>
          <w:color w:val="000000"/>
          <w:sz w:val="24"/>
          <w:szCs w:val="24"/>
        </w:rPr>
        <w:t>专业代码：020</w:t>
      </w:r>
      <w:r>
        <w:rPr>
          <w:rFonts w:ascii="宋体" w:hAnsi="宋体" w:cs="宋体"/>
          <w:b/>
          <w:color w:val="000000"/>
          <w:sz w:val="24"/>
          <w:szCs w:val="24"/>
        </w:rPr>
        <w:t>100</w:t>
      </w:r>
      <w:r>
        <w:rPr>
          <w:rFonts w:hint="eastAsia" w:ascii="宋体" w:hAnsi="宋体" w:cs="宋体"/>
          <w:b/>
          <w:color w:val="000000"/>
          <w:sz w:val="24"/>
          <w:szCs w:val="24"/>
        </w:rPr>
        <w:t xml:space="preserve">                               咨询电话：020-84261737</w:t>
      </w:r>
    </w:p>
    <w:tbl>
      <w:tblPr>
        <w:tblStyle w:val="8"/>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108"/>
        <w:gridCol w:w="3118"/>
        <w:gridCol w:w="1701"/>
      </w:tblGrid>
      <w:tr w14:paraId="567D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28" w:type="dxa"/>
            <w:noWrap w:val="0"/>
            <w:vAlign w:val="center"/>
          </w:tcPr>
          <w:p w14:paraId="146ADA4B">
            <w:pPr>
              <w:adjustRightInd w:val="0"/>
              <w:snapToGrid w:val="0"/>
              <w:jc w:val="center"/>
              <w:rPr>
                <w:rFonts w:hint="eastAsia" w:ascii="宋体" w:hAnsi="宋体" w:cs="宋体"/>
                <w:b/>
                <w:color w:val="000000"/>
                <w:sz w:val="24"/>
                <w:szCs w:val="24"/>
              </w:rPr>
            </w:pPr>
            <w:r>
              <w:rPr>
                <w:rFonts w:hint="eastAsia" w:ascii="宋体" w:hAnsi="宋体" w:cs="宋体"/>
                <w:b/>
                <w:color w:val="000000"/>
                <w:sz w:val="24"/>
                <w:szCs w:val="24"/>
              </w:rPr>
              <w:t>序号</w:t>
            </w:r>
          </w:p>
        </w:tc>
        <w:tc>
          <w:tcPr>
            <w:tcW w:w="3108" w:type="dxa"/>
            <w:noWrap w:val="0"/>
            <w:vAlign w:val="center"/>
          </w:tcPr>
          <w:p w14:paraId="3C3427B0">
            <w:pPr>
              <w:adjustRightInd w:val="0"/>
              <w:snapToGrid w:val="0"/>
              <w:jc w:val="center"/>
              <w:rPr>
                <w:rFonts w:hint="eastAsia" w:ascii="宋体" w:hAnsi="宋体" w:cs="宋体"/>
                <w:b/>
                <w:color w:val="000000"/>
                <w:sz w:val="24"/>
                <w:szCs w:val="24"/>
              </w:rPr>
            </w:pPr>
            <w:r>
              <w:rPr>
                <w:rFonts w:hint="eastAsia" w:ascii="宋体" w:hAnsi="宋体" w:cs="宋体"/>
                <w:b/>
                <w:color w:val="000000"/>
                <w:sz w:val="24"/>
                <w:szCs w:val="24"/>
              </w:rPr>
              <w:t>研究方向</w:t>
            </w:r>
          </w:p>
        </w:tc>
        <w:tc>
          <w:tcPr>
            <w:tcW w:w="3118" w:type="dxa"/>
            <w:noWrap w:val="0"/>
            <w:vAlign w:val="center"/>
          </w:tcPr>
          <w:p w14:paraId="3872BAE3">
            <w:pPr>
              <w:adjustRightInd w:val="0"/>
              <w:snapToGrid w:val="0"/>
              <w:jc w:val="center"/>
              <w:rPr>
                <w:rFonts w:hint="eastAsia" w:ascii="宋体" w:hAnsi="宋体" w:cs="宋体"/>
                <w:b/>
                <w:color w:val="000000"/>
                <w:sz w:val="24"/>
                <w:szCs w:val="24"/>
              </w:rPr>
            </w:pPr>
            <w:r>
              <w:rPr>
                <w:rFonts w:hint="eastAsia" w:ascii="宋体" w:hAnsi="宋体" w:cs="宋体"/>
                <w:b/>
                <w:color w:val="000000"/>
                <w:sz w:val="24"/>
                <w:szCs w:val="24"/>
              </w:rPr>
              <w:t>初试科目</w:t>
            </w:r>
          </w:p>
        </w:tc>
        <w:tc>
          <w:tcPr>
            <w:tcW w:w="1701" w:type="dxa"/>
            <w:noWrap w:val="0"/>
            <w:vAlign w:val="center"/>
          </w:tcPr>
          <w:p w14:paraId="7DC08255">
            <w:pPr>
              <w:adjustRightInd w:val="0"/>
              <w:snapToGrid w:val="0"/>
              <w:jc w:val="center"/>
              <w:rPr>
                <w:rFonts w:hint="eastAsia" w:ascii="宋体" w:hAnsi="宋体" w:cs="宋体"/>
                <w:b/>
                <w:color w:val="000000"/>
                <w:sz w:val="24"/>
                <w:szCs w:val="24"/>
              </w:rPr>
            </w:pPr>
            <w:r>
              <w:rPr>
                <w:rFonts w:hint="eastAsia" w:ascii="宋体" w:hAnsi="宋体" w:cs="宋体"/>
                <w:b/>
                <w:color w:val="000000"/>
                <w:sz w:val="24"/>
                <w:szCs w:val="24"/>
              </w:rPr>
              <w:t>复试科目</w:t>
            </w:r>
          </w:p>
        </w:tc>
      </w:tr>
      <w:tr w14:paraId="7418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828" w:type="dxa"/>
            <w:noWrap w:val="0"/>
            <w:vAlign w:val="center"/>
          </w:tcPr>
          <w:p w14:paraId="759D11F8">
            <w:pPr>
              <w:adjustRightInd w:val="0"/>
              <w:snapToGrid w:val="0"/>
              <w:jc w:val="center"/>
              <w:rPr>
                <w:rFonts w:hint="eastAsia" w:ascii="宋体" w:hAnsi="宋体" w:cs="宋体"/>
                <w:color w:val="000000"/>
                <w:sz w:val="24"/>
                <w:szCs w:val="24"/>
              </w:rPr>
            </w:pPr>
            <w:r>
              <w:rPr>
                <w:rFonts w:hint="eastAsia" w:ascii="宋体" w:hAnsi="宋体" w:cs="宋体"/>
                <w:color w:val="000000"/>
                <w:sz w:val="24"/>
                <w:szCs w:val="24"/>
              </w:rPr>
              <w:t>1</w:t>
            </w:r>
          </w:p>
        </w:tc>
        <w:tc>
          <w:tcPr>
            <w:tcW w:w="3108" w:type="dxa"/>
            <w:noWrap w:val="0"/>
            <w:vAlign w:val="center"/>
          </w:tcPr>
          <w:p w14:paraId="6150804B">
            <w:pPr>
              <w:adjustRightInd w:val="0"/>
              <w:snapToGrid w:val="0"/>
              <w:rPr>
                <w:rFonts w:hint="eastAsia" w:ascii="宋体" w:hAnsi="宋体" w:cs="宋体"/>
                <w:color w:val="000000"/>
                <w:sz w:val="24"/>
                <w:szCs w:val="24"/>
              </w:rPr>
            </w:pPr>
            <w:r>
              <w:rPr>
                <w:rFonts w:hint="eastAsia" w:ascii="宋体" w:hAnsi="宋体" w:cs="宋体"/>
                <w:color w:val="000000"/>
                <w:sz w:val="24"/>
                <w:szCs w:val="24"/>
              </w:rPr>
              <w:t>政治经济学</w:t>
            </w:r>
          </w:p>
        </w:tc>
        <w:tc>
          <w:tcPr>
            <w:tcW w:w="3118" w:type="dxa"/>
            <w:vMerge w:val="restart"/>
            <w:noWrap w:val="0"/>
            <w:vAlign w:val="center"/>
          </w:tcPr>
          <w:p w14:paraId="2325CE92">
            <w:pPr>
              <w:adjustRightInd w:val="0"/>
              <w:snapToGrid w:val="0"/>
              <w:rPr>
                <w:rFonts w:hint="eastAsia" w:ascii="宋体" w:hAnsi="宋体" w:cs="宋体"/>
                <w:color w:val="000000"/>
                <w:sz w:val="24"/>
                <w:szCs w:val="24"/>
              </w:rPr>
            </w:pPr>
            <w:r>
              <w:rPr>
                <w:rFonts w:hint="eastAsia" w:ascii="宋体" w:hAnsi="宋体" w:cs="宋体"/>
                <w:color w:val="000000"/>
                <w:sz w:val="24"/>
                <w:szCs w:val="24"/>
              </w:rPr>
              <w:t>（1）</w:t>
            </w:r>
            <w:r>
              <w:rPr>
                <w:rFonts w:hint="eastAsia" w:ascii="宋体" w:hAnsi="宋体" w:cs="宋体"/>
                <w:sz w:val="24"/>
                <w:szCs w:val="24"/>
              </w:rPr>
              <w:t>▲</w:t>
            </w:r>
            <w:r>
              <w:rPr>
                <w:rFonts w:hint="eastAsia" w:ascii="宋体" w:hAnsi="宋体" w:cs="宋体"/>
                <w:color w:val="000000"/>
                <w:sz w:val="24"/>
                <w:szCs w:val="24"/>
              </w:rPr>
              <w:t>思想政治理论（100分）</w:t>
            </w:r>
          </w:p>
          <w:p w14:paraId="004AF449">
            <w:pPr>
              <w:adjustRightInd w:val="0"/>
              <w:snapToGrid w:val="0"/>
              <w:rPr>
                <w:rFonts w:ascii="宋体" w:hAnsi="宋体" w:cs="宋体"/>
                <w:color w:val="000000"/>
                <w:sz w:val="24"/>
                <w:szCs w:val="24"/>
              </w:rPr>
            </w:pPr>
            <w:r>
              <w:rPr>
                <w:rFonts w:hint="eastAsia" w:ascii="宋体" w:hAnsi="宋体" w:cs="宋体"/>
                <w:color w:val="000000"/>
                <w:sz w:val="24"/>
                <w:szCs w:val="24"/>
              </w:rPr>
              <w:t>（2）</w:t>
            </w:r>
            <w:r>
              <w:rPr>
                <w:rFonts w:hint="eastAsia" w:ascii="宋体" w:hAnsi="宋体" w:cs="宋体"/>
                <w:sz w:val="24"/>
                <w:szCs w:val="24"/>
              </w:rPr>
              <w:t>▲</w:t>
            </w:r>
            <w:r>
              <w:rPr>
                <w:rFonts w:hint="eastAsia" w:ascii="宋体" w:hAnsi="宋体" w:cs="宋体"/>
                <w:color w:val="000000"/>
                <w:sz w:val="24"/>
                <w:szCs w:val="24"/>
              </w:rPr>
              <w:t>英语一（100分）</w:t>
            </w:r>
          </w:p>
          <w:p w14:paraId="4C6FE5AB">
            <w:pPr>
              <w:adjustRightInd w:val="0"/>
              <w:snapToGrid w:val="0"/>
              <w:rPr>
                <w:rFonts w:hint="eastAsia" w:ascii="宋体" w:hAnsi="宋体" w:cs="宋体"/>
                <w:color w:val="000000"/>
                <w:sz w:val="24"/>
                <w:szCs w:val="24"/>
              </w:rPr>
            </w:pPr>
            <w:r>
              <w:rPr>
                <w:rFonts w:hint="eastAsia" w:ascii="宋体" w:hAnsi="宋体" w:cs="宋体"/>
                <w:color w:val="000000"/>
                <w:sz w:val="24"/>
                <w:szCs w:val="24"/>
              </w:rPr>
              <w:t>（3）</w:t>
            </w:r>
            <w:r>
              <w:rPr>
                <w:rFonts w:hint="eastAsia" w:ascii="宋体" w:hAnsi="宋体" w:cs="宋体"/>
                <w:sz w:val="24"/>
                <w:szCs w:val="24"/>
              </w:rPr>
              <w:t>▲</w:t>
            </w:r>
            <w:r>
              <w:rPr>
                <w:rFonts w:hint="eastAsia" w:ascii="宋体" w:hAnsi="宋体" w:cs="宋体"/>
                <w:color w:val="000000"/>
                <w:sz w:val="24"/>
                <w:szCs w:val="24"/>
              </w:rPr>
              <w:t>数学三（150分）</w:t>
            </w:r>
          </w:p>
          <w:p w14:paraId="3ADF116F">
            <w:pPr>
              <w:adjustRightInd w:val="0"/>
              <w:snapToGrid w:val="0"/>
              <w:rPr>
                <w:rFonts w:hint="eastAsia" w:ascii="宋体" w:hAnsi="宋体" w:cs="宋体"/>
                <w:color w:val="000000"/>
                <w:sz w:val="24"/>
                <w:szCs w:val="24"/>
              </w:rPr>
            </w:pPr>
            <w:r>
              <w:rPr>
                <w:rFonts w:hint="eastAsia" w:ascii="宋体" w:hAnsi="宋体" w:cs="宋体"/>
                <w:color w:val="000000"/>
                <w:sz w:val="24"/>
                <w:szCs w:val="24"/>
              </w:rPr>
              <w:t>（4）经济学基础（150分）</w:t>
            </w:r>
          </w:p>
        </w:tc>
        <w:tc>
          <w:tcPr>
            <w:tcW w:w="1701" w:type="dxa"/>
            <w:vMerge w:val="restart"/>
            <w:noWrap w:val="0"/>
            <w:vAlign w:val="center"/>
          </w:tcPr>
          <w:p w14:paraId="63CD2AF9">
            <w:pPr>
              <w:adjustRightInd w:val="0"/>
              <w:snapToGrid w:val="0"/>
              <w:jc w:val="left"/>
              <w:rPr>
                <w:rFonts w:hint="eastAsia" w:ascii="宋体" w:hAnsi="宋体" w:cs="宋体"/>
                <w:color w:val="000000"/>
                <w:sz w:val="24"/>
                <w:szCs w:val="24"/>
              </w:rPr>
            </w:pPr>
            <w:r>
              <w:rPr>
                <w:rFonts w:hint="eastAsia" w:ascii="宋体" w:hAnsi="宋体" w:cs="宋体"/>
                <w:color w:val="000000"/>
                <w:sz w:val="24"/>
                <w:szCs w:val="24"/>
              </w:rPr>
              <w:t>F501-理论经济综合（100分）</w:t>
            </w:r>
          </w:p>
        </w:tc>
      </w:tr>
      <w:tr w14:paraId="418B4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828" w:type="dxa"/>
            <w:noWrap w:val="0"/>
            <w:vAlign w:val="center"/>
          </w:tcPr>
          <w:p w14:paraId="067EDB5E">
            <w:pPr>
              <w:adjustRightInd w:val="0"/>
              <w:snapToGrid w:val="0"/>
              <w:jc w:val="center"/>
              <w:rPr>
                <w:rFonts w:hint="eastAsia" w:ascii="宋体" w:hAnsi="宋体" w:cs="宋体"/>
                <w:color w:val="000000"/>
                <w:sz w:val="24"/>
                <w:szCs w:val="24"/>
              </w:rPr>
            </w:pPr>
            <w:r>
              <w:rPr>
                <w:rFonts w:hint="eastAsia" w:ascii="宋体" w:hAnsi="宋体" w:cs="宋体"/>
                <w:color w:val="000000"/>
                <w:sz w:val="24"/>
                <w:szCs w:val="24"/>
              </w:rPr>
              <w:t>2</w:t>
            </w:r>
          </w:p>
        </w:tc>
        <w:tc>
          <w:tcPr>
            <w:tcW w:w="3108" w:type="dxa"/>
            <w:noWrap w:val="0"/>
            <w:vAlign w:val="center"/>
          </w:tcPr>
          <w:p w14:paraId="5ECA0981">
            <w:pPr>
              <w:adjustRightInd w:val="0"/>
              <w:snapToGrid w:val="0"/>
              <w:rPr>
                <w:rFonts w:hint="eastAsia" w:ascii="宋体" w:hAnsi="宋体" w:cs="宋体"/>
                <w:color w:val="000000"/>
                <w:sz w:val="24"/>
                <w:szCs w:val="24"/>
              </w:rPr>
            </w:pPr>
            <w:r>
              <w:rPr>
                <w:rFonts w:hint="eastAsia" w:ascii="宋体" w:hAnsi="宋体" w:cs="宋体"/>
                <w:color w:val="000000"/>
                <w:sz w:val="24"/>
                <w:szCs w:val="24"/>
              </w:rPr>
              <w:t>人口、资源与环境经济学</w:t>
            </w:r>
          </w:p>
        </w:tc>
        <w:tc>
          <w:tcPr>
            <w:tcW w:w="3118" w:type="dxa"/>
            <w:vMerge w:val="continue"/>
            <w:noWrap w:val="0"/>
            <w:vAlign w:val="center"/>
          </w:tcPr>
          <w:p w14:paraId="3C2B459D">
            <w:pPr>
              <w:adjustRightInd w:val="0"/>
              <w:snapToGrid w:val="0"/>
              <w:jc w:val="center"/>
              <w:rPr>
                <w:rFonts w:hint="eastAsia" w:ascii="宋体" w:hAnsi="宋体" w:cs="宋体"/>
                <w:color w:val="000000"/>
                <w:sz w:val="24"/>
                <w:szCs w:val="24"/>
              </w:rPr>
            </w:pPr>
          </w:p>
        </w:tc>
        <w:tc>
          <w:tcPr>
            <w:tcW w:w="1701" w:type="dxa"/>
            <w:vMerge w:val="continue"/>
            <w:noWrap w:val="0"/>
            <w:vAlign w:val="center"/>
          </w:tcPr>
          <w:p w14:paraId="0D25C477">
            <w:pPr>
              <w:adjustRightInd w:val="0"/>
              <w:snapToGrid w:val="0"/>
              <w:jc w:val="center"/>
              <w:rPr>
                <w:rFonts w:hint="eastAsia" w:ascii="宋体" w:hAnsi="宋体" w:cs="宋体"/>
                <w:color w:val="000000"/>
                <w:sz w:val="24"/>
                <w:szCs w:val="24"/>
              </w:rPr>
            </w:pPr>
          </w:p>
        </w:tc>
      </w:tr>
      <w:tr w14:paraId="154C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828" w:type="dxa"/>
            <w:noWrap w:val="0"/>
            <w:vAlign w:val="center"/>
          </w:tcPr>
          <w:p w14:paraId="121C766D">
            <w:pPr>
              <w:adjustRightInd w:val="0"/>
              <w:snapToGrid w:val="0"/>
              <w:jc w:val="center"/>
              <w:rPr>
                <w:rFonts w:hint="eastAsia" w:ascii="宋体" w:hAnsi="宋体" w:cs="宋体"/>
                <w:color w:val="000000"/>
                <w:sz w:val="24"/>
                <w:szCs w:val="24"/>
              </w:rPr>
            </w:pPr>
            <w:r>
              <w:rPr>
                <w:rFonts w:hint="eastAsia" w:ascii="宋体" w:hAnsi="宋体" w:cs="宋体"/>
                <w:color w:val="000000"/>
                <w:sz w:val="24"/>
                <w:szCs w:val="24"/>
              </w:rPr>
              <w:t>3</w:t>
            </w:r>
          </w:p>
        </w:tc>
        <w:tc>
          <w:tcPr>
            <w:tcW w:w="3108" w:type="dxa"/>
            <w:noWrap w:val="0"/>
            <w:vAlign w:val="center"/>
          </w:tcPr>
          <w:p w14:paraId="1D179AB4">
            <w:pPr>
              <w:adjustRightInd w:val="0"/>
              <w:snapToGrid w:val="0"/>
              <w:rPr>
                <w:rFonts w:hint="eastAsia" w:ascii="宋体" w:hAnsi="宋体" w:cs="宋体"/>
                <w:color w:val="000000"/>
                <w:sz w:val="24"/>
                <w:szCs w:val="24"/>
              </w:rPr>
            </w:pPr>
            <w:r>
              <w:rPr>
                <w:rFonts w:hint="eastAsia" w:ascii="宋体" w:hAnsi="宋体" w:cs="宋体"/>
                <w:color w:val="000000"/>
                <w:sz w:val="24"/>
                <w:szCs w:val="24"/>
              </w:rPr>
              <w:t>西方经济学</w:t>
            </w:r>
          </w:p>
        </w:tc>
        <w:tc>
          <w:tcPr>
            <w:tcW w:w="3118" w:type="dxa"/>
            <w:vMerge w:val="continue"/>
            <w:noWrap w:val="0"/>
            <w:vAlign w:val="center"/>
          </w:tcPr>
          <w:p w14:paraId="06621104">
            <w:pPr>
              <w:adjustRightInd w:val="0"/>
              <w:snapToGrid w:val="0"/>
              <w:jc w:val="center"/>
              <w:rPr>
                <w:rFonts w:hint="eastAsia" w:ascii="宋体" w:hAnsi="宋体" w:cs="宋体"/>
                <w:color w:val="000000"/>
                <w:sz w:val="24"/>
                <w:szCs w:val="24"/>
              </w:rPr>
            </w:pPr>
          </w:p>
        </w:tc>
        <w:tc>
          <w:tcPr>
            <w:tcW w:w="1701" w:type="dxa"/>
            <w:vMerge w:val="continue"/>
            <w:noWrap w:val="0"/>
            <w:vAlign w:val="center"/>
          </w:tcPr>
          <w:p w14:paraId="61553533">
            <w:pPr>
              <w:adjustRightInd w:val="0"/>
              <w:snapToGrid w:val="0"/>
              <w:jc w:val="center"/>
              <w:rPr>
                <w:rFonts w:hint="eastAsia" w:ascii="宋体" w:hAnsi="宋体" w:cs="宋体"/>
                <w:color w:val="000000"/>
                <w:sz w:val="24"/>
                <w:szCs w:val="24"/>
              </w:rPr>
            </w:pPr>
          </w:p>
        </w:tc>
      </w:tr>
      <w:tr w14:paraId="6F1D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828" w:type="dxa"/>
            <w:noWrap w:val="0"/>
            <w:vAlign w:val="center"/>
          </w:tcPr>
          <w:p w14:paraId="4BD8E0E7">
            <w:pPr>
              <w:adjustRightInd w:val="0"/>
              <w:snapToGrid w:val="0"/>
              <w:jc w:val="center"/>
              <w:rPr>
                <w:rFonts w:hint="eastAsia" w:ascii="宋体" w:hAnsi="宋体" w:cs="宋体"/>
                <w:color w:val="000000"/>
                <w:sz w:val="24"/>
                <w:szCs w:val="24"/>
              </w:rPr>
            </w:pPr>
            <w:r>
              <w:rPr>
                <w:rFonts w:hint="eastAsia" w:ascii="宋体" w:hAnsi="宋体" w:cs="宋体"/>
                <w:color w:val="000000"/>
                <w:sz w:val="24"/>
                <w:szCs w:val="24"/>
              </w:rPr>
              <w:t>4</w:t>
            </w:r>
          </w:p>
        </w:tc>
        <w:tc>
          <w:tcPr>
            <w:tcW w:w="3108" w:type="dxa"/>
            <w:noWrap w:val="0"/>
            <w:vAlign w:val="center"/>
          </w:tcPr>
          <w:p w14:paraId="71EC04BF">
            <w:pPr>
              <w:adjustRightInd w:val="0"/>
              <w:snapToGrid w:val="0"/>
              <w:rPr>
                <w:rFonts w:hint="eastAsia" w:ascii="宋体" w:hAnsi="宋体" w:cs="宋体"/>
                <w:color w:val="000000"/>
                <w:sz w:val="24"/>
                <w:szCs w:val="24"/>
              </w:rPr>
            </w:pPr>
            <w:r>
              <w:rPr>
                <w:rFonts w:hint="eastAsia" w:ascii="宋体" w:hAnsi="宋体" w:cs="宋体"/>
                <w:color w:val="000000"/>
                <w:sz w:val="24"/>
                <w:szCs w:val="24"/>
              </w:rPr>
              <w:t>世界经济</w:t>
            </w:r>
          </w:p>
        </w:tc>
        <w:tc>
          <w:tcPr>
            <w:tcW w:w="3118" w:type="dxa"/>
            <w:vMerge w:val="continue"/>
            <w:noWrap w:val="0"/>
            <w:vAlign w:val="center"/>
          </w:tcPr>
          <w:p w14:paraId="366BACFC">
            <w:pPr>
              <w:adjustRightInd w:val="0"/>
              <w:snapToGrid w:val="0"/>
              <w:jc w:val="center"/>
              <w:rPr>
                <w:rFonts w:hint="eastAsia" w:ascii="宋体" w:hAnsi="宋体" w:cs="宋体"/>
                <w:color w:val="000000"/>
                <w:sz w:val="24"/>
                <w:szCs w:val="24"/>
              </w:rPr>
            </w:pPr>
          </w:p>
        </w:tc>
        <w:tc>
          <w:tcPr>
            <w:tcW w:w="1701" w:type="dxa"/>
            <w:vMerge w:val="continue"/>
            <w:noWrap w:val="0"/>
            <w:vAlign w:val="center"/>
          </w:tcPr>
          <w:p w14:paraId="2A119398">
            <w:pPr>
              <w:adjustRightInd w:val="0"/>
              <w:snapToGrid w:val="0"/>
              <w:jc w:val="center"/>
              <w:rPr>
                <w:rFonts w:hint="eastAsia" w:ascii="宋体" w:hAnsi="宋体" w:cs="宋体"/>
                <w:color w:val="000000"/>
                <w:sz w:val="24"/>
                <w:szCs w:val="24"/>
              </w:rPr>
            </w:pPr>
          </w:p>
        </w:tc>
      </w:tr>
      <w:tr w14:paraId="3F11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828" w:type="dxa"/>
            <w:noWrap w:val="0"/>
            <w:vAlign w:val="center"/>
          </w:tcPr>
          <w:p w14:paraId="6440FC36">
            <w:pPr>
              <w:adjustRightInd w:val="0"/>
              <w:snapToGrid w:val="0"/>
              <w:jc w:val="center"/>
              <w:rPr>
                <w:rFonts w:hint="eastAsia" w:ascii="宋体" w:hAnsi="宋体" w:cs="宋体"/>
                <w:color w:val="000000"/>
                <w:sz w:val="24"/>
                <w:szCs w:val="24"/>
              </w:rPr>
            </w:pPr>
            <w:r>
              <w:rPr>
                <w:rFonts w:hint="eastAsia" w:ascii="宋体" w:hAnsi="宋体" w:cs="宋体"/>
                <w:color w:val="000000"/>
                <w:sz w:val="24"/>
                <w:szCs w:val="24"/>
              </w:rPr>
              <w:t>5</w:t>
            </w:r>
          </w:p>
        </w:tc>
        <w:tc>
          <w:tcPr>
            <w:tcW w:w="3108" w:type="dxa"/>
            <w:noWrap w:val="0"/>
            <w:vAlign w:val="center"/>
          </w:tcPr>
          <w:p w14:paraId="0B6B83AD">
            <w:pPr>
              <w:adjustRightInd w:val="0"/>
              <w:snapToGrid w:val="0"/>
              <w:rPr>
                <w:rFonts w:hint="eastAsia" w:ascii="宋体" w:hAnsi="宋体" w:cs="宋体"/>
                <w:color w:val="000000"/>
                <w:sz w:val="24"/>
                <w:szCs w:val="24"/>
              </w:rPr>
            </w:pPr>
            <w:r>
              <w:rPr>
                <w:rFonts w:hint="eastAsia" w:ascii="宋体" w:hAnsi="宋体" w:cs="宋体"/>
                <w:color w:val="000000"/>
                <w:sz w:val="24"/>
                <w:szCs w:val="24"/>
              </w:rPr>
              <w:t>佛山新兴产业发展研究</w:t>
            </w:r>
          </w:p>
        </w:tc>
        <w:tc>
          <w:tcPr>
            <w:tcW w:w="3118" w:type="dxa"/>
            <w:vMerge w:val="continue"/>
            <w:noWrap w:val="0"/>
            <w:vAlign w:val="center"/>
          </w:tcPr>
          <w:p w14:paraId="09B3E5C7">
            <w:pPr>
              <w:adjustRightInd w:val="0"/>
              <w:snapToGrid w:val="0"/>
              <w:jc w:val="center"/>
              <w:rPr>
                <w:rFonts w:hint="eastAsia" w:ascii="宋体" w:hAnsi="宋体" w:cs="宋体"/>
                <w:color w:val="000000"/>
                <w:sz w:val="24"/>
                <w:szCs w:val="24"/>
              </w:rPr>
            </w:pPr>
          </w:p>
        </w:tc>
        <w:tc>
          <w:tcPr>
            <w:tcW w:w="1701" w:type="dxa"/>
            <w:vMerge w:val="continue"/>
            <w:noWrap w:val="0"/>
            <w:vAlign w:val="center"/>
          </w:tcPr>
          <w:p w14:paraId="1A5B65DD">
            <w:pPr>
              <w:adjustRightInd w:val="0"/>
              <w:snapToGrid w:val="0"/>
              <w:jc w:val="center"/>
              <w:rPr>
                <w:rFonts w:hint="eastAsia" w:ascii="宋体" w:hAnsi="宋体" w:cs="宋体"/>
                <w:color w:val="000000"/>
                <w:sz w:val="24"/>
                <w:szCs w:val="24"/>
              </w:rPr>
            </w:pPr>
          </w:p>
        </w:tc>
      </w:tr>
    </w:tbl>
    <w:p w14:paraId="6F946F99">
      <w:pPr>
        <w:adjustRightInd w:val="0"/>
        <w:snapToGrid w:val="0"/>
        <w:rPr>
          <w:rFonts w:hint="eastAsia" w:ascii="宋体" w:hAnsi="宋体" w:cs="宋体"/>
          <w:b/>
          <w:sz w:val="24"/>
          <w:szCs w:val="24"/>
        </w:rPr>
      </w:pPr>
      <w:r>
        <w:rPr>
          <w:rFonts w:hint="eastAsia" w:ascii="宋体" w:hAnsi="宋体" w:cs="宋体"/>
          <w:sz w:val="24"/>
          <w:szCs w:val="24"/>
        </w:rPr>
        <w:t>▲</w:t>
      </w:r>
      <w:r>
        <w:rPr>
          <w:rFonts w:hint="eastAsia" w:ascii="宋体" w:hAnsi="宋体" w:cs="宋体"/>
          <w:b/>
          <w:color w:val="000000"/>
          <w:sz w:val="24"/>
          <w:szCs w:val="24"/>
        </w:rPr>
        <w:t>为统考科目或联考科目，考试题型、考试大纲以教育部公布为准。其他为自命题科目。</w:t>
      </w:r>
    </w:p>
    <w:p w14:paraId="259B5AD5">
      <w:pPr>
        <w:adjustRightInd w:val="0"/>
        <w:snapToGrid w:val="0"/>
        <w:rPr>
          <w:rFonts w:hint="eastAsia" w:ascii="宋体" w:hAnsi="宋体" w:cs="宋体"/>
          <w:b/>
          <w:sz w:val="24"/>
          <w:szCs w:val="24"/>
        </w:rPr>
      </w:pPr>
    </w:p>
    <w:p w14:paraId="564C8355">
      <w:pPr>
        <w:adjustRightInd w:val="0"/>
        <w:snapToGrid w:val="0"/>
        <w:rPr>
          <w:rFonts w:hint="eastAsia" w:ascii="宋体" w:hAnsi="宋体" w:cs="宋体"/>
          <w:b/>
          <w:sz w:val="24"/>
          <w:szCs w:val="24"/>
        </w:rPr>
      </w:pPr>
    </w:p>
    <w:p w14:paraId="2AC7A71D">
      <w:pPr>
        <w:adjustRightInd w:val="0"/>
        <w:snapToGrid w:val="0"/>
        <w:rPr>
          <w:rFonts w:hint="eastAsia" w:ascii="宋体" w:hAnsi="宋体" w:cs="宋体"/>
          <w:b/>
          <w:sz w:val="24"/>
          <w:szCs w:val="24"/>
        </w:rPr>
      </w:pPr>
      <w:r>
        <w:rPr>
          <w:rFonts w:hint="eastAsia" w:ascii="宋体" w:hAnsi="宋体" w:cs="宋体"/>
          <w:b/>
          <w:sz w:val="24"/>
          <w:szCs w:val="24"/>
        </w:rPr>
        <w:t>考试题型及相应分值：</w:t>
      </w:r>
    </w:p>
    <w:p w14:paraId="19682299">
      <w:pPr>
        <w:adjustRightInd w:val="0"/>
        <w:snapToGrid w:val="0"/>
        <w:jc w:val="left"/>
        <w:rPr>
          <w:rFonts w:hint="eastAsia" w:ascii="宋体" w:hAnsi="宋体" w:cs="宋体"/>
          <w:b/>
          <w:sz w:val="24"/>
          <w:szCs w:val="24"/>
        </w:rPr>
      </w:pPr>
      <w:r>
        <w:rPr>
          <w:rFonts w:hint="eastAsia" w:ascii="宋体" w:hAnsi="宋体" w:cs="宋体"/>
          <w:b/>
          <w:sz w:val="24"/>
          <w:szCs w:val="24"/>
        </w:rPr>
        <w:t>《经济学基础》</w:t>
      </w:r>
    </w:p>
    <w:p w14:paraId="3A26BD68">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（1）名词解释（6题，每题5分，共30分）</w:t>
      </w:r>
    </w:p>
    <w:p w14:paraId="0CE004FB">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（2）简答题（6题，每题10分，共60分）</w:t>
      </w:r>
    </w:p>
    <w:p w14:paraId="5BD09E32">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（3）论述题（2题，每题30分，共60分）</w:t>
      </w:r>
    </w:p>
    <w:p w14:paraId="39F7E32B">
      <w:pPr>
        <w:shd w:val="solid" w:color="FFFFFF" w:fill="auto"/>
        <w:autoSpaceDN w:val="0"/>
        <w:adjustRightInd w:val="0"/>
        <w:snapToGrid w:val="0"/>
        <w:rPr>
          <w:rFonts w:hint="eastAsia" w:ascii="宋体" w:hAnsi="宋体" w:cs="宋体"/>
          <w:sz w:val="24"/>
          <w:szCs w:val="24"/>
          <w:shd w:val="clear" w:color="auto" w:fill="FFFFFF"/>
        </w:rPr>
      </w:pPr>
    </w:p>
    <w:p w14:paraId="35D08137">
      <w:pPr>
        <w:shd w:val="solid" w:color="FFFFFF" w:fill="auto"/>
        <w:autoSpaceDN w:val="0"/>
        <w:adjustRightInd w:val="0"/>
        <w:snapToGrid w:val="0"/>
        <w:rPr>
          <w:rFonts w:hint="eastAsia" w:ascii="宋体" w:hAnsi="宋体" w:cs="宋体"/>
          <w:sz w:val="24"/>
          <w:szCs w:val="24"/>
          <w:shd w:val="clear" w:color="auto" w:fill="FFFFFF"/>
        </w:rPr>
      </w:pPr>
      <w:r>
        <w:rPr>
          <w:rFonts w:hint="eastAsia" w:ascii="宋体" w:hAnsi="宋体" w:cs="宋体"/>
          <w:sz w:val="24"/>
          <w:szCs w:val="24"/>
          <w:shd w:val="clear" w:color="auto" w:fill="FFFFFF"/>
        </w:rPr>
        <w:t>参考书目：高鸿业：《西方经济学(宏/微观)》第7版 ，中国人民大学出版社2018年</w:t>
      </w:r>
    </w:p>
    <w:p w14:paraId="2D556F53">
      <w:pPr>
        <w:adjustRightInd w:val="0"/>
        <w:snapToGrid w:val="0"/>
        <w:rPr>
          <w:rFonts w:hint="eastAsia" w:ascii="宋体" w:hAnsi="宋体" w:cs="宋体"/>
          <w:b/>
          <w:sz w:val="24"/>
          <w:szCs w:val="24"/>
        </w:rPr>
      </w:pPr>
    </w:p>
    <w:p w14:paraId="1366C121">
      <w:pPr>
        <w:adjustRightInd w:val="0"/>
        <w:snapToGrid w:val="0"/>
        <w:rPr>
          <w:rFonts w:hint="eastAsia" w:ascii="宋体" w:hAnsi="宋体" w:cs="宋体"/>
          <w:b/>
          <w:sz w:val="24"/>
          <w:szCs w:val="24"/>
        </w:rPr>
      </w:pPr>
      <w:r>
        <w:rPr>
          <w:rFonts w:hint="eastAsia" w:ascii="宋体" w:hAnsi="宋体" w:cs="宋体"/>
          <w:b/>
          <w:sz w:val="24"/>
          <w:szCs w:val="24"/>
        </w:rPr>
        <w:t>《理论经济综合》</w:t>
      </w:r>
    </w:p>
    <w:p w14:paraId="15132716">
      <w:pPr>
        <w:adjustRightInd w:val="0"/>
        <w:snapToGrid w:val="0"/>
        <w:jc w:val="left"/>
        <w:rPr>
          <w:rFonts w:hint="eastAsia" w:ascii="宋体" w:hAnsi="宋体" w:cs="宋体"/>
          <w:sz w:val="24"/>
          <w:szCs w:val="24"/>
        </w:rPr>
      </w:pPr>
      <w:r>
        <w:rPr>
          <w:rFonts w:hint="eastAsia" w:ascii="宋体" w:hAnsi="宋体" w:cs="宋体"/>
          <w:sz w:val="24"/>
          <w:szCs w:val="24"/>
        </w:rPr>
        <w:t>（1）问答题（6题，每题10分，共60分）</w:t>
      </w:r>
    </w:p>
    <w:p w14:paraId="7D2F55C2">
      <w:pPr>
        <w:adjustRightInd w:val="0"/>
        <w:snapToGrid w:val="0"/>
        <w:jc w:val="left"/>
        <w:rPr>
          <w:rFonts w:hint="eastAsia" w:ascii="宋体" w:hAnsi="宋体" w:cs="宋体"/>
          <w:sz w:val="24"/>
          <w:szCs w:val="24"/>
        </w:rPr>
      </w:pPr>
      <w:r>
        <w:rPr>
          <w:rFonts w:hint="eastAsia" w:ascii="宋体" w:hAnsi="宋体" w:cs="宋体"/>
          <w:sz w:val="24"/>
          <w:szCs w:val="24"/>
        </w:rPr>
        <w:t>（2）论述题（2题，每题20分，共40分）</w:t>
      </w:r>
    </w:p>
    <w:p w14:paraId="1189282E">
      <w:pPr>
        <w:adjustRightInd w:val="0"/>
        <w:snapToGrid w:val="0"/>
        <w:rPr>
          <w:rFonts w:hint="eastAsia" w:ascii="宋体" w:hAnsi="宋体" w:cs="宋体"/>
          <w:b/>
          <w:color w:val="000000"/>
          <w:sz w:val="24"/>
          <w:szCs w:val="24"/>
        </w:rPr>
      </w:pPr>
    </w:p>
    <w:p w14:paraId="24AAF13A">
      <w:pPr>
        <w:adjustRightInd w:val="0"/>
        <w:snapToGrid w:val="0"/>
        <w:rPr>
          <w:rFonts w:hint="eastAsia" w:ascii="宋体" w:hAnsi="宋体" w:cs="宋体"/>
          <w:b/>
          <w:sz w:val="24"/>
          <w:szCs w:val="24"/>
        </w:rPr>
      </w:pPr>
      <w:r>
        <w:rPr>
          <w:rFonts w:hint="eastAsia" w:ascii="宋体" w:hAnsi="宋体" w:cs="宋体"/>
          <w:b/>
          <w:sz w:val="24"/>
          <w:szCs w:val="24"/>
        </w:rPr>
        <w:t>考试大纲</w:t>
      </w:r>
    </w:p>
    <w:p w14:paraId="68FE8F2C">
      <w:pPr>
        <w:widowControl/>
        <w:adjustRightInd w:val="0"/>
        <w:snapToGrid w:val="0"/>
        <w:jc w:val="center"/>
        <w:rPr>
          <w:rFonts w:hint="eastAsia" w:ascii="黑体" w:hAnsi="黑体" w:eastAsia="黑体" w:cs="黑体"/>
          <w:bCs/>
          <w:kern w:val="0"/>
          <w:sz w:val="36"/>
          <w:szCs w:val="36"/>
        </w:rPr>
      </w:pPr>
      <w:r>
        <w:rPr>
          <w:rFonts w:hint="eastAsia" w:ascii="黑体" w:hAnsi="黑体" w:eastAsia="黑体" w:cs="黑体"/>
          <w:bCs/>
          <w:kern w:val="0"/>
          <w:sz w:val="36"/>
          <w:szCs w:val="36"/>
        </w:rPr>
        <w:t>《经济学基础》</w:t>
      </w:r>
    </w:p>
    <w:p w14:paraId="24840223">
      <w:pPr>
        <w:adjustRightInd w:val="0"/>
        <w:snapToGrid w:val="0"/>
        <w:rPr>
          <w:rFonts w:hint="eastAsia" w:ascii="宋体" w:hAnsi="宋体" w:cs="宋体"/>
          <w:b/>
          <w:color w:val="000000"/>
          <w:kern w:val="0"/>
          <w:sz w:val="24"/>
          <w:szCs w:val="24"/>
        </w:rPr>
      </w:pPr>
      <w:r>
        <w:rPr>
          <w:rFonts w:hint="eastAsia" w:ascii="宋体" w:hAnsi="宋体" w:cs="宋体"/>
          <w:b/>
          <w:color w:val="000000"/>
          <w:kern w:val="0"/>
          <w:sz w:val="24"/>
          <w:szCs w:val="24"/>
        </w:rPr>
        <w:t>《经济学基础》考试大纲概述：</w:t>
      </w:r>
    </w:p>
    <w:p w14:paraId="3A66E9AD">
      <w:pPr>
        <w:widowControl/>
        <w:adjustRightInd w:val="0"/>
        <w:snapToGrid w:val="0"/>
        <w:ind w:firstLine="48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内容主要包括价格理论，消费者行为理论（效用理论），生产理论，成本理论，竞争市场</w:t>
      </w:r>
      <w:r>
        <w:rPr>
          <w:rFonts w:ascii="宋体" w:hAnsi="宋体" w:cs="宋体"/>
          <w:color w:val="000000"/>
          <w:sz w:val="24"/>
          <w:szCs w:val="24"/>
          <w:shd w:val="clear" w:color="auto" w:fill="FFFFFF"/>
        </w:rPr>
        <w:t>理论，</w:t>
      </w:r>
      <w:r>
        <w:rPr>
          <w:rFonts w:hint="eastAsia" w:ascii="宋体" w:hAnsi="宋体" w:cs="宋体"/>
          <w:color w:val="000000"/>
          <w:sz w:val="24"/>
          <w:szCs w:val="24"/>
          <w:shd w:val="clear" w:color="auto" w:fill="FFFFFF"/>
        </w:rPr>
        <w:t>国民收入决定理论，产品</w:t>
      </w:r>
      <w:r>
        <w:rPr>
          <w:rFonts w:ascii="宋体" w:hAnsi="宋体" w:cs="宋体"/>
          <w:color w:val="000000"/>
          <w:sz w:val="24"/>
          <w:szCs w:val="24"/>
          <w:shd w:val="clear" w:color="auto" w:fill="FFFFFF"/>
        </w:rPr>
        <w:t>与货币市场均衡理论，</w:t>
      </w:r>
      <w:r>
        <w:rPr>
          <w:rFonts w:hint="eastAsia" w:ascii="宋体" w:hAnsi="宋体" w:cs="宋体"/>
          <w:color w:val="000000"/>
          <w:sz w:val="24"/>
          <w:szCs w:val="24"/>
          <w:shd w:val="clear" w:color="auto" w:fill="FFFFFF"/>
        </w:rPr>
        <w:t>宏观经济政策分析，失业与通货膨胀理论等。测试学生对微观经济学和宏观经济学的基本原理、基本工具和方法的掌握程度，了解其是否具有初步应用这些基本原理和基本方法分析有关问题的能力。</w:t>
      </w:r>
    </w:p>
    <w:p w14:paraId="47E23D81">
      <w:pPr>
        <w:widowControl/>
        <w:adjustRightInd w:val="0"/>
        <w:snapToGrid w:val="0"/>
        <w:rPr>
          <w:rFonts w:ascii="宋体" w:hAnsi="宋体" w:cs="宋体"/>
          <w:b/>
          <w:bCs/>
          <w:color w:val="000000"/>
          <w:sz w:val="24"/>
          <w:szCs w:val="24"/>
          <w:shd w:val="clear" w:color="auto" w:fill="FFFFFF"/>
        </w:rPr>
      </w:pPr>
    </w:p>
    <w:p w14:paraId="62B176B0">
      <w:pPr>
        <w:widowControl/>
        <w:adjustRightInd w:val="0"/>
        <w:snapToGrid w:val="0"/>
        <w:rPr>
          <w:rFonts w:hint="eastAsia" w:ascii="宋体" w:hAnsi="宋体" w:cs="宋体"/>
          <w:color w:val="000000"/>
          <w:sz w:val="24"/>
          <w:szCs w:val="24"/>
          <w:shd w:val="clear" w:color="auto" w:fill="FFFFFF"/>
        </w:rPr>
      </w:pPr>
      <w:r>
        <w:rPr>
          <w:rFonts w:hint="eastAsia" w:ascii="宋体" w:hAnsi="宋体" w:cs="宋体"/>
          <w:b/>
          <w:bCs/>
          <w:color w:val="000000"/>
          <w:sz w:val="24"/>
          <w:szCs w:val="24"/>
          <w:shd w:val="clear" w:color="auto" w:fill="FFFFFF"/>
        </w:rPr>
        <w:t>第一部分  微观经济理论</w:t>
      </w:r>
    </w:p>
    <w:p w14:paraId="29202AE3">
      <w:pPr>
        <w:widowControl/>
        <w:adjustRightInd w:val="0"/>
        <w:snapToGrid w:val="0"/>
        <w:rPr>
          <w:rFonts w:hint="eastAsia"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一、需求、供给与价格理论</w:t>
      </w:r>
    </w:p>
    <w:p w14:paraId="4783151D">
      <w:pPr>
        <w:numPr>
          <w:ilvl w:val="0"/>
          <w:numId w:val="1"/>
        </w:numPr>
        <w:shd w:val="solid" w:color="FFFFFF" w:fill="auto"/>
        <w:autoSpaceDN w:val="0"/>
        <w:adjustRightInd w:val="0"/>
        <w:snapToGrid w:val="0"/>
        <w:rPr>
          <w:rFonts w:hint="eastAsia" w:ascii="宋体" w:hAnsi="宋体" w:cs="宋体"/>
          <w:color w:val="000000"/>
          <w:spacing w:val="-17"/>
          <w:sz w:val="24"/>
          <w:szCs w:val="24"/>
          <w:shd w:val="clear" w:color="auto" w:fill="FFFFFF"/>
        </w:rPr>
      </w:pPr>
      <w:r>
        <w:rPr>
          <w:rFonts w:hint="eastAsia" w:ascii="宋体" w:hAnsi="宋体" w:cs="宋体"/>
          <w:color w:val="000000"/>
          <w:spacing w:val="-17"/>
          <w:sz w:val="24"/>
          <w:szCs w:val="24"/>
          <w:shd w:val="clear" w:color="auto" w:fill="FFFFFF"/>
        </w:rPr>
        <w:t>需求理论</w:t>
      </w:r>
    </w:p>
    <w:p w14:paraId="2417A015">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pacing w:val="-13"/>
          <w:sz w:val="24"/>
          <w:szCs w:val="24"/>
          <w:shd w:val="clear" w:color="auto" w:fill="FFFFFF"/>
        </w:rPr>
        <w:t xml:space="preserve">     </w:t>
      </w:r>
      <w:r>
        <w:rPr>
          <w:rFonts w:hint="eastAsia" w:ascii="宋体" w:hAnsi="宋体" w:cs="宋体"/>
          <w:color w:val="000000"/>
          <w:sz w:val="24"/>
          <w:szCs w:val="24"/>
          <w:shd w:val="clear" w:color="auto" w:fill="FFFFFF"/>
        </w:rPr>
        <w:t>需求、需求表、需求曲线与需求规律      影响需求的因素：需求函数</w:t>
      </w:r>
    </w:p>
    <w:p w14:paraId="4B4EA051">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需求定理                              需求量的变动与需求的变动</w:t>
      </w:r>
    </w:p>
    <w:p w14:paraId="134D82EB">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供给理论</w:t>
      </w:r>
    </w:p>
    <w:p w14:paraId="0D989707">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pacing w:val="-13"/>
          <w:sz w:val="24"/>
          <w:szCs w:val="24"/>
          <w:shd w:val="clear" w:color="auto" w:fill="FFFFFF"/>
        </w:rPr>
        <w:t xml:space="preserve">    </w:t>
      </w:r>
      <w:r>
        <w:rPr>
          <w:rFonts w:hint="eastAsia" w:ascii="宋体" w:hAnsi="宋体" w:cs="宋体"/>
          <w:color w:val="000000"/>
          <w:sz w:val="24"/>
          <w:szCs w:val="24"/>
          <w:shd w:val="clear" w:color="auto" w:fill="FFFFFF"/>
        </w:rPr>
        <w:t xml:space="preserve"> 供给、供给表、供给曲线                影响供给的因素：供给函数</w:t>
      </w:r>
    </w:p>
    <w:p w14:paraId="25B16EE8">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供给定理                              供给量的变动与供给的变动</w:t>
      </w:r>
    </w:p>
    <w:p w14:paraId="7331E0F6">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价格的决定</w:t>
      </w:r>
    </w:p>
    <w:p w14:paraId="585B44BB">
      <w:pPr>
        <w:shd w:val="solid" w:color="FFFFFF" w:fill="auto"/>
        <w:autoSpaceDN w:val="0"/>
        <w:adjustRightInd w:val="0"/>
        <w:snapToGrid w:val="0"/>
        <w:ind w:firstLine="48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均衡价格含义及形成                    需求与供给变动对均衡的影响</w:t>
      </w:r>
    </w:p>
    <w:p w14:paraId="58F4F516">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需求价格弹性</w:t>
      </w:r>
    </w:p>
    <w:p w14:paraId="2419037E">
      <w:pPr>
        <w:shd w:val="solid" w:color="FFFFFF" w:fill="auto"/>
        <w:autoSpaceDN w:val="0"/>
        <w:adjustRightInd w:val="0"/>
        <w:snapToGrid w:val="0"/>
        <w:ind w:firstLine="48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需求价格弹性的含义与分类              影响需求弹性的因素</w:t>
      </w:r>
    </w:p>
    <w:p w14:paraId="59D86539">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弹性理论的运用：需求弹性与总收益</w:t>
      </w:r>
    </w:p>
    <w:p w14:paraId="270E309A">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二、消费者行为理论（效用理论）</w:t>
      </w:r>
    </w:p>
    <w:p w14:paraId="43FB2B42">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效用</w:t>
      </w:r>
    </w:p>
    <w:p w14:paraId="7A20B514">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基数效用论与序数效用论     总效用与边际效用      边际效用递减规律</w:t>
      </w:r>
    </w:p>
    <w:p w14:paraId="7E8F8D89">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序数效用论</w:t>
      </w:r>
    </w:p>
    <w:p w14:paraId="1884C73A">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无差异曲线及特征           消费可能线（预算线）   消费者均衡</w:t>
      </w:r>
    </w:p>
    <w:p w14:paraId="71BE8553">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消费者行为理论的运用</w:t>
      </w:r>
    </w:p>
    <w:p w14:paraId="79E95EDA">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消费者剩余                    消费者行为与需求定理</w:t>
      </w:r>
    </w:p>
    <w:p w14:paraId="64DC8A6B">
      <w:pPr>
        <w:shd w:val="solid" w:color="FFFFFF" w:fill="auto"/>
        <w:autoSpaceDN w:val="0"/>
        <w:adjustRightInd w:val="0"/>
        <w:snapToGrid w:val="0"/>
        <w:rPr>
          <w:rFonts w:hint="eastAsia"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三、生产理论</w:t>
      </w:r>
    </w:p>
    <w:p w14:paraId="4781543C">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生产要素与生产函数</w:t>
      </w:r>
    </w:p>
    <w:p w14:paraId="15D4AF1E">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边际收益递减规律</w:t>
      </w:r>
    </w:p>
    <w:p w14:paraId="481968EC">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总产量、平均产量、边际产量的关系</w:t>
      </w:r>
    </w:p>
    <w:p w14:paraId="44835E36">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等产量线与等成本线</w:t>
      </w:r>
    </w:p>
    <w:p w14:paraId="2AE243E0">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规模报酬</w:t>
      </w:r>
    </w:p>
    <w:p w14:paraId="7F3D09ED">
      <w:pPr>
        <w:shd w:val="solid" w:color="FFFFFF" w:fill="auto"/>
        <w:autoSpaceDN w:val="0"/>
        <w:adjustRightInd w:val="0"/>
        <w:snapToGrid w:val="0"/>
        <w:rPr>
          <w:rFonts w:hint="eastAsia" w:ascii="宋体" w:hAnsi="宋体" w:cs="宋体"/>
          <w:bCs/>
          <w:color w:val="000000"/>
          <w:sz w:val="24"/>
          <w:szCs w:val="24"/>
          <w:shd w:val="clear" w:color="auto" w:fill="FFFFFF"/>
        </w:rPr>
      </w:pPr>
      <w:r>
        <w:rPr>
          <w:rFonts w:hint="eastAsia" w:ascii="宋体" w:hAnsi="宋体" w:cs="宋体"/>
          <w:bCs/>
          <w:color w:val="000000"/>
          <w:sz w:val="24"/>
          <w:szCs w:val="24"/>
          <w:shd w:val="clear" w:color="auto" w:fill="FFFFFF"/>
        </w:rPr>
        <w:t>四、成本与收益理论</w:t>
      </w:r>
    </w:p>
    <w:p w14:paraId="274B35D8">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成本</w:t>
      </w:r>
    </w:p>
    <w:p w14:paraId="77973960">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会计成本与机会成本             机会成本在企业决策中的作用</w:t>
      </w:r>
    </w:p>
    <w:p w14:paraId="070D2E20">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短期成本</w:t>
      </w:r>
    </w:p>
    <w:p w14:paraId="118AC1BE">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短期成本的分类                 各类短期成本的变动规律及其关系</w:t>
      </w:r>
    </w:p>
    <w:p w14:paraId="110E94BE">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长期成本</w:t>
      </w:r>
    </w:p>
    <w:p w14:paraId="1039D54A">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长期总成本                     长期平均成本          长期边际成本</w:t>
      </w:r>
    </w:p>
    <w:p w14:paraId="212FC966">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收益与利润最大化</w:t>
      </w:r>
    </w:p>
    <w:p w14:paraId="41F3FF4B">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总收益、平均收益与边际收益     利润最大化原则</w:t>
      </w:r>
    </w:p>
    <w:p w14:paraId="769A2185">
      <w:pPr>
        <w:shd w:val="solid" w:color="FFFFFF" w:fill="auto"/>
        <w:autoSpaceDN w:val="0"/>
        <w:adjustRightInd w:val="0"/>
        <w:snapToGrid w:val="0"/>
        <w:rPr>
          <w:rFonts w:hint="eastAsia"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五、竞争市场理论</w:t>
      </w:r>
    </w:p>
    <w:p w14:paraId="05E4E909">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市场结构</w:t>
      </w:r>
    </w:p>
    <w:p w14:paraId="36F05D86">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市场结构类型                   市场结构与企业行为的关系</w:t>
      </w:r>
    </w:p>
    <w:p w14:paraId="0B4FEF7E">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完全竞争市场</w:t>
      </w:r>
    </w:p>
    <w:p w14:paraId="4D93108A">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完全竞争市场含义与特征     完全竞争市场需求曲线、平均收益与边际收益</w:t>
      </w:r>
    </w:p>
    <w:p w14:paraId="22F33AD2">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利润最大化的基本原则       完全竞争市场上的短期均衡与长期均衡</w:t>
      </w:r>
    </w:p>
    <w:p w14:paraId="03C99DFD">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非完全竞争市场</w:t>
      </w:r>
    </w:p>
    <w:p w14:paraId="15DF690E">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完全垄断、垄断竞争和寡头垄断市场的条件及其特征</w:t>
      </w:r>
    </w:p>
    <w:p w14:paraId="788DFD14">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完全垄断厂商的需求曲线、平均收益与边际收益</w:t>
      </w:r>
    </w:p>
    <w:p w14:paraId="494A2956">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垄断市场上的短期均衡与长期均衡（了解）</w:t>
      </w:r>
    </w:p>
    <w:p w14:paraId="1EA2D886">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垄断竞争与完全竞争的比较</w:t>
      </w:r>
    </w:p>
    <w:p w14:paraId="031ABEA6">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垄断竞争市场上的产品差别竞争    </w:t>
      </w:r>
    </w:p>
    <w:p w14:paraId="4703F7F7">
      <w:pPr>
        <w:shd w:val="solid" w:color="FFFFFF" w:fill="auto"/>
        <w:autoSpaceDN w:val="0"/>
        <w:adjustRightInd w:val="0"/>
        <w:snapToGrid w:val="0"/>
        <w:rPr>
          <w:rFonts w:hint="eastAsia" w:ascii="宋体" w:hAnsi="宋体" w:cs="宋体"/>
          <w:b/>
          <w:bCs/>
          <w:color w:val="000000"/>
          <w:sz w:val="24"/>
          <w:szCs w:val="24"/>
          <w:shd w:val="clear" w:color="auto" w:fill="FFFFFF"/>
        </w:rPr>
      </w:pPr>
    </w:p>
    <w:p w14:paraId="7AE31238">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b/>
          <w:bCs/>
          <w:color w:val="000000"/>
          <w:sz w:val="24"/>
          <w:szCs w:val="24"/>
          <w:shd w:val="clear" w:color="auto" w:fill="FFFFFF"/>
        </w:rPr>
        <w:t>第二部分  宏观经济理论</w:t>
      </w:r>
    </w:p>
    <w:p w14:paraId="567B4BE2">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一、国民收入决定理论</w:t>
      </w:r>
    </w:p>
    <w:p w14:paraId="3F61BA95">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国内生产总值</w:t>
      </w:r>
    </w:p>
    <w:p w14:paraId="177DCEBB">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国内生产总值的含义                       </w:t>
      </w:r>
    </w:p>
    <w:p w14:paraId="5D00C770">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国内生产总值的计算方法</w:t>
      </w:r>
    </w:p>
    <w:p w14:paraId="36DFA6AF">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实际国内生产总值与名义国内生产总值      </w:t>
      </w:r>
    </w:p>
    <w:p w14:paraId="244A5C80">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国内生产总值与人均国内生产总值</w:t>
      </w:r>
    </w:p>
    <w:p w14:paraId="5080F8D4">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消费函数、储蓄函数</w:t>
      </w:r>
    </w:p>
    <w:p w14:paraId="5AE48AE9">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乘数理论</w:t>
      </w:r>
    </w:p>
    <w:p w14:paraId="4B477312">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其他宏观经济指标（了解）</w:t>
      </w:r>
    </w:p>
    <w:p w14:paraId="68B12ECA">
      <w:pPr>
        <w:shd w:val="solid" w:color="FFFFFF" w:fill="auto"/>
        <w:autoSpaceDN w:val="0"/>
        <w:adjustRightInd w:val="0"/>
        <w:snapToGrid w:val="0"/>
        <w:ind w:firstLine="48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物价指数                       失业率</w:t>
      </w:r>
    </w:p>
    <w:p w14:paraId="1296B05D">
      <w:p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bCs/>
          <w:color w:val="000000"/>
          <w:sz w:val="24"/>
          <w:szCs w:val="24"/>
          <w:shd w:val="clear" w:color="auto" w:fill="FFFFFF"/>
        </w:rPr>
        <w:t>二、产品市场和货币市场的一般均衡理论</w:t>
      </w:r>
    </w:p>
    <w:p w14:paraId="16CDB589">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投资的决定</w:t>
      </w:r>
    </w:p>
    <w:p w14:paraId="310A3468">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实际利率与投资                  边际效率</w:t>
      </w:r>
    </w:p>
    <w:p w14:paraId="54B4873E">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投资边际效率曲线                预期收益与投资</w:t>
      </w:r>
    </w:p>
    <w:p w14:paraId="6C7BEF14">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商品市场的均衡（IS）曲线</w:t>
      </w:r>
    </w:p>
    <w:p w14:paraId="5030F5BC">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货币市场的均衡（LM）曲线</w:t>
      </w:r>
    </w:p>
    <w:p w14:paraId="5BD368F0">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利率的决定</w:t>
      </w:r>
    </w:p>
    <w:p w14:paraId="2A6C4FE0">
      <w:pPr>
        <w:shd w:val="solid" w:color="FFFFFF" w:fill="auto"/>
        <w:autoSpaceDN w:val="0"/>
        <w:adjustRightInd w:val="0"/>
        <w:snapToGrid w:val="0"/>
        <w:rPr>
          <w:rFonts w:hint="eastAsia"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 xml:space="preserve">三、宏观经济政策分析 </w:t>
      </w:r>
    </w:p>
    <w:p w14:paraId="59C87EEA">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财政政策和货币政策的影响</w:t>
      </w:r>
    </w:p>
    <w:p w14:paraId="4EF92718">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                         货币政策</w:t>
      </w:r>
    </w:p>
    <w:p w14:paraId="070F60F2">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财政政策和货币政策的影响         财政政策和货币政策的混合使用</w:t>
      </w:r>
    </w:p>
    <w:p w14:paraId="23A58A72">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经济政策目标</w:t>
      </w:r>
    </w:p>
    <w:p w14:paraId="6DDAEE0A">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充分就业                         价格稳定 </w:t>
      </w:r>
    </w:p>
    <w:p w14:paraId="080F1EB4">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经济持续均衡增长                 国际收支平衡。</w:t>
      </w:r>
    </w:p>
    <w:p w14:paraId="4CB3902C">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w:t>
      </w:r>
    </w:p>
    <w:p w14:paraId="105CB7EA">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财政政策工具                     自动稳定与相机抉择的财政政策</w:t>
      </w:r>
    </w:p>
    <w:p w14:paraId="3B9C51B9">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功能财政和预算盈余               充分就业预算盈余与财政政策方向</w:t>
      </w:r>
    </w:p>
    <w:p w14:paraId="5BC79175">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货币政策</w:t>
      </w:r>
    </w:p>
    <w:p w14:paraId="2ECF8D9A">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商业银行和中央银行               存款创造和货币供给</w:t>
      </w:r>
    </w:p>
    <w:p w14:paraId="4670DD3A">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债券价格与市场利息率的关系       货币政策及其工具</w:t>
      </w:r>
    </w:p>
    <w:p w14:paraId="1FC2924C">
      <w:pPr>
        <w:shd w:val="solid" w:color="FFFFFF" w:fill="auto"/>
        <w:autoSpaceDN w:val="0"/>
        <w:adjustRightInd w:val="0"/>
        <w:snapToGrid w:val="0"/>
        <w:rPr>
          <w:rFonts w:hint="eastAsia" w:ascii="宋体" w:hAnsi="宋体" w:cs="宋体"/>
          <w:b/>
          <w:bCs/>
          <w:color w:val="000000"/>
          <w:sz w:val="24"/>
          <w:szCs w:val="24"/>
          <w:shd w:val="clear" w:color="auto" w:fill="FFFFFF"/>
        </w:rPr>
      </w:pPr>
      <w:r>
        <w:rPr>
          <w:rFonts w:hint="eastAsia" w:ascii="宋体" w:hAnsi="宋体" w:cs="宋体"/>
          <w:bCs/>
          <w:color w:val="000000"/>
          <w:sz w:val="24"/>
          <w:szCs w:val="24"/>
          <w:shd w:val="clear" w:color="auto" w:fill="FFFFFF"/>
        </w:rPr>
        <w:t>四、失业、通货膨胀理论</w:t>
      </w:r>
    </w:p>
    <w:p w14:paraId="11FC258C">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失业理论</w:t>
      </w:r>
    </w:p>
    <w:p w14:paraId="2988BD49">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失业的分类                       自然失业率和自然就业率  </w:t>
      </w:r>
    </w:p>
    <w:p w14:paraId="2385D5FE">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失业的影响                       奥肯定律</w:t>
      </w:r>
    </w:p>
    <w:p w14:paraId="7A5AB432">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通货膨胀理论</w:t>
      </w:r>
    </w:p>
    <w:p w14:paraId="5DD14FC7">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通货膨胀的含义与分类             通货膨胀对经济的影响  </w:t>
      </w:r>
    </w:p>
    <w:p w14:paraId="2EF60C10">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通货膨胀的原因                   需求拉动的通货膨胀理论    </w:t>
      </w:r>
    </w:p>
    <w:p w14:paraId="4D81C708">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供给推动的通货膨胀理论           其他通货膨胀理论</w:t>
      </w:r>
    </w:p>
    <w:p w14:paraId="0CF07584">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治理通货膨胀的对策</w:t>
      </w:r>
    </w:p>
    <w:p w14:paraId="693D0D7C">
      <w:pPr>
        <w:numPr>
          <w:ilvl w:val="0"/>
          <w:numId w:val="2"/>
        </w:numPr>
        <w:shd w:val="solid" w:color="FFFFFF" w:fill="auto"/>
        <w:autoSpaceDN w:val="0"/>
        <w:adjustRightInd w:val="0"/>
        <w:snapToGrid w:val="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菲利普斯曲线</w:t>
      </w:r>
    </w:p>
    <w:p w14:paraId="5B7B223A">
      <w:pPr>
        <w:shd w:val="solid" w:color="FFFFFF" w:fill="auto"/>
        <w:autoSpaceDN w:val="0"/>
        <w:adjustRightInd w:val="0"/>
        <w:snapToGrid w:val="0"/>
        <w:ind w:left="420"/>
        <w:rPr>
          <w:rFonts w:hint="eastAsia"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菲利普斯曲线的提出               菲利普斯曲线的政策含义</w:t>
      </w:r>
    </w:p>
    <w:p w14:paraId="16FE4DE8">
      <w:pPr>
        <w:adjustRightInd w:val="0"/>
        <w:snapToGrid w:val="0"/>
        <w:rPr>
          <w:rFonts w:hint="eastAsia"/>
        </w:rPr>
      </w:pPr>
    </w:p>
    <w:p w14:paraId="144FD5FA">
      <w:pPr>
        <w:pStyle w:val="6"/>
        <w:adjustRightInd w:val="0"/>
        <w:snapToGrid w:val="0"/>
        <w:spacing w:before="0" w:beforeAutospacing="0" w:after="0" w:afterAutospacing="0"/>
        <w:rPr>
          <w:rFonts w:hint="eastAsia"/>
        </w:rPr>
      </w:pPr>
    </w:p>
    <w:p w14:paraId="49B42247">
      <w:pPr>
        <w:adjustRightInd w:val="0"/>
        <w:snapToGrid w:val="0"/>
      </w:pPr>
    </w:p>
    <w:p w14:paraId="08B26340">
      <w:pPr>
        <w:pStyle w:val="6"/>
        <w:adjustRightInd w:val="0"/>
        <w:snapToGrid w:val="0"/>
        <w:spacing w:before="0" w:beforeAutospacing="0" w:after="0" w:afterAutospacing="0"/>
        <w:jc w:val="center"/>
        <w:rPr>
          <w:rFonts w:hint="eastAsia" w:ascii="黑体" w:hAnsi="黑体" w:eastAsia="黑体" w:cs="黑体"/>
          <w:sz w:val="36"/>
          <w:szCs w:val="36"/>
        </w:rPr>
      </w:pPr>
      <w:r>
        <w:rPr>
          <w:rFonts w:hint="eastAsia" w:ascii="黑体" w:hAnsi="黑体" w:eastAsia="黑体" w:cs="黑体"/>
          <w:sz w:val="36"/>
          <w:szCs w:val="36"/>
        </w:rPr>
        <w:t>《理论经济综合》</w:t>
      </w:r>
    </w:p>
    <w:p w14:paraId="359D246F">
      <w:pPr>
        <w:adjustRightInd w:val="0"/>
        <w:snapToGrid w:val="0"/>
        <w:rPr>
          <w:rFonts w:hint="eastAsia" w:ascii="宋体" w:hAnsi="宋体" w:cs="宋体"/>
          <w:b/>
          <w:color w:val="000000"/>
          <w:kern w:val="0"/>
          <w:sz w:val="24"/>
          <w:szCs w:val="24"/>
        </w:rPr>
      </w:pPr>
      <w:r>
        <w:rPr>
          <w:rFonts w:hint="eastAsia" w:ascii="宋体" w:hAnsi="宋体" w:cs="宋体"/>
          <w:b/>
          <w:color w:val="000000"/>
          <w:kern w:val="0"/>
          <w:sz w:val="24"/>
          <w:szCs w:val="24"/>
        </w:rPr>
        <w:t>《理论经济综合》考试大纲概述：</w:t>
      </w:r>
    </w:p>
    <w:p w14:paraId="61F21F59">
      <w:pPr>
        <w:adjustRightInd w:val="0"/>
        <w:snapToGrid w:val="0"/>
        <w:ind w:firstLine="480" w:firstLineChars="200"/>
        <w:rPr>
          <w:rFonts w:ascii="宋体" w:hAnsi="宋体" w:cs="宋体"/>
          <w:color w:val="000000"/>
          <w:sz w:val="24"/>
          <w:szCs w:val="24"/>
        </w:rPr>
      </w:pPr>
      <w:r>
        <w:rPr>
          <w:rFonts w:hint="eastAsia" w:ascii="宋体" w:hAnsi="宋体" w:cs="宋体"/>
          <w:color w:val="000000"/>
          <w:sz w:val="24"/>
          <w:szCs w:val="24"/>
        </w:rPr>
        <w:t>了解理论经济</w:t>
      </w:r>
      <w:r>
        <w:rPr>
          <w:rFonts w:hint="eastAsia" w:ascii="宋体" w:hAnsi="宋体" w:cs="宋体"/>
          <w:sz w:val="24"/>
          <w:szCs w:val="24"/>
        </w:rPr>
        <w:t>学的学科关联，测试学生对理论经济学的基本原理、基本工具和方法的掌握程度。内容主要包括政治经济学基本原理、西方经济学原理、世界经济原理和人口、资源与环境经济学原理等。通过以上基本内容的学习，了解学生是否具有初步应用经济学基本原理和基本方法</w:t>
      </w:r>
      <w:r>
        <w:rPr>
          <w:rFonts w:hint="eastAsia" w:ascii="宋体" w:hAnsi="宋体" w:cs="宋体"/>
          <w:color w:val="000000"/>
          <w:sz w:val="24"/>
          <w:szCs w:val="24"/>
        </w:rPr>
        <w:t>分析有关问题的能力。</w:t>
      </w:r>
    </w:p>
    <w:p w14:paraId="1D1D3381">
      <w:pPr>
        <w:adjustRightInd w:val="0"/>
        <w:snapToGrid w:val="0"/>
        <w:rPr>
          <w:rFonts w:hint="eastAsia" w:ascii="宋体" w:hAnsi="宋体" w:cs="宋体"/>
          <w:b/>
          <w:color w:val="000000"/>
          <w:sz w:val="24"/>
          <w:szCs w:val="24"/>
        </w:rPr>
      </w:pPr>
    </w:p>
    <w:p w14:paraId="0FA6836B">
      <w:pPr>
        <w:adjustRightInd w:val="0"/>
        <w:snapToGrid w:val="0"/>
        <w:ind w:firstLine="482" w:firstLineChars="200"/>
        <w:rPr>
          <w:rFonts w:hint="eastAsia" w:ascii="宋体" w:hAnsi="宋体" w:cs="宋体"/>
          <w:b/>
          <w:color w:val="000000"/>
          <w:sz w:val="24"/>
          <w:szCs w:val="24"/>
        </w:rPr>
      </w:pPr>
      <w:r>
        <w:rPr>
          <w:rFonts w:hint="eastAsia" w:ascii="宋体" w:hAnsi="宋体" w:cs="宋体"/>
          <w:b/>
          <w:sz w:val="24"/>
          <w:szCs w:val="24"/>
        </w:rPr>
        <w:t>第一部分 政治</w:t>
      </w:r>
      <w:r>
        <w:rPr>
          <w:rFonts w:ascii="宋体" w:hAnsi="宋体" w:cs="宋体"/>
          <w:b/>
          <w:sz w:val="24"/>
          <w:szCs w:val="24"/>
        </w:rPr>
        <w:t>经济学</w:t>
      </w:r>
      <w:r>
        <w:rPr>
          <w:rFonts w:hint="eastAsia" w:ascii="宋体" w:hAnsi="宋体" w:cs="宋体"/>
          <w:b/>
          <w:sz w:val="24"/>
          <w:szCs w:val="24"/>
        </w:rPr>
        <w:t>基本原理</w:t>
      </w:r>
    </w:p>
    <w:p w14:paraId="5608876A">
      <w:pPr>
        <w:pStyle w:val="6"/>
        <w:numPr>
          <w:ilvl w:val="0"/>
          <w:numId w:val="3"/>
        </w:numPr>
        <w:adjustRightInd w:val="0"/>
        <w:snapToGrid w:val="0"/>
        <w:rPr>
          <w:rFonts w:hint="eastAsia"/>
        </w:rPr>
      </w:pPr>
      <w:r>
        <w:rPr>
          <w:rFonts w:hint="eastAsia"/>
        </w:rPr>
        <w:t>劳动价值论</w:t>
      </w:r>
    </w:p>
    <w:p w14:paraId="2A75FA15">
      <w:pPr>
        <w:pStyle w:val="6"/>
        <w:numPr>
          <w:ilvl w:val="0"/>
          <w:numId w:val="3"/>
        </w:numPr>
        <w:adjustRightInd w:val="0"/>
        <w:snapToGrid w:val="0"/>
        <w:rPr>
          <w:rFonts w:hint="eastAsia"/>
        </w:rPr>
      </w:pPr>
      <w:r>
        <w:rPr>
          <w:rFonts w:hint="eastAsia"/>
        </w:rPr>
        <w:t>商品、货币、资本、剩余价值生产理论</w:t>
      </w:r>
    </w:p>
    <w:p w14:paraId="03443122">
      <w:pPr>
        <w:pStyle w:val="6"/>
        <w:numPr>
          <w:ilvl w:val="0"/>
          <w:numId w:val="3"/>
        </w:numPr>
        <w:adjustRightInd w:val="0"/>
        <w:snapToGrid w:val="0"/>
        <w:rPr>
          <w:rFonts w:hint="eastAsia"/>
        </w:rPr>
      </w:pPr>
      <w:r>
        <w:rPr>
          <w:rFonts w:hint="eastAsia"/>
        </w:rPr>
        <w:t>分工、交换、价值规律作用和市场竞争机制理论</w:t>
      </w:r>
    </w:p>
    <w:p w14:paraId="486013F2">
      <w:pPr>
        <w:pStyle w:val="6"/>
        <w:numPr>
          <w:ilvl w:val="0"/>
          <w:numId w:val="3"/>
        </w:numPr>
        <w:adjustRightInd w:val="0"/>
        <w:snapToGrid w:val="0"/>
        <w:rPr>
          <w:rFonts w:hint="eastAsia"/>
        </w:rPr>
      </w:pPr>
      <w:r>
        <w:rPr>
          <w:rFonts w:hint="eastAsia"/>
        </w:rPr>
        <w:t>资本循环周转与再生产理论</w:t>
      </w:r>
    </w:p>
    <w:p w14:paraId="7599209F">
      <w:pPr>
        <w:pStyle w:val="6"/>
        <w:numPr>
          <w:ilvl w:val="0"/>
          <w:numId w:val="3"/>
        </w:numPr>
        <w:adjustRightInd w:val="0"/>
        <w:snapToGrid w:val="0"/>
        <w:rPr>
          <w:rFonts w:hint="eastAsia"/>
        </w:rPr>
      </w:pPr>
      <w:r>
        <w:rPr>
          <w:rFonts w:hint="eastAsia"/>
        </w:rPr>
        <w:t>资本主义经济危机理论</w:t>
      </w:r>
    </w:p>
    <w:p w14:paraId="2BBE66D1">
      <w:pPr>
        <w:pStyle w:val="6"/>
        <w:numPr>
          <w:ilvl w:val="0"/>
          <w:numId w:val="3"/>
        </w:numPr>
        <w:adjustRightInd w:val="0"/>
        <w:snapToGrid w:val="0"/>
        <w:rPr>
          <w:rFonts w:hint="eastAsia"/>
        </w:rPr>
      </w:pPr>
      <w:r>
        <w:rPr>
          <w:rFonts w:hint="eastAsia"/>
        </w:rPr>
        <w:t>利润率平均化与价值转型理论</w:t>
      </w:r>
    </w:p>
    <w:p w14:paraId="12871756">
      <w:pPr>
        <w:pStyle w:val="6"/>
        <w:numPr>
          <w:ilvl w:val="0"/>
          <w:numId w:val="3"/>
        </w:numPr>
        <w:adjustRightInd w:val="0"/>
        <w:snapToGrid w:val="0"/>
        <w:rPr>
          <w:rFonts w:hint="eastAsia"/>
        </w:rPr>
      </w:pPr>
      <w:r>
        <w:rPr>
          <w:rFonts w:hint="eastAsia"/>
        </w:rPr>
        <w:t>地租理论</w:t>
      </w:r>
    </w:p>
    <w:p w14:paraId="57BF6929">
      <w:pPr>
        <w:pStyle w:val="6"/>
        <w:numPr>
          <w:ilvl w:val="0"/>
          <w:numId w:val="3"/>
        </w:numPr>
        <w:adjustRightInd w:val="0"/>
        <w:snapToGrid w:val="0"/>
        <w:rPr>
          <w:rFonts w:hint="eastAsia"/>
        </w:rPr>
      </w:pPr>
      <w:r>
        <w:rPr>
          <w:rFonts w:hint="eastAsia"/>
        </w:rPr>
        <w:t>社会主义分配原则</w:t>
      </w:r>
    </w:p>
    <w:p w14:paraId="54537D55">
      <w:pPr>
        <w:pStyle w:val="6"/>
        <w:numPr>
          <w:ilvl w:val="0"/>
          <w:numId w:val="3"/>
        </w:numPr>
        <w:adjustRightInd w:val="0"/>
        <w:snapToGrid w:val="0"/>
        <w:rPr>
          <w:rFonts w:hint="eastAsia"/>
        </w:rPr>
      </w:pPr>
      <w:r>
        <w:rPr>
          <w:rFonts w:hint="eastAsia"/>
        </w:rPr>
        <w:t>中国经济发展新常态、供给侧结构性改革的政治经济学分析</w:t>
      </w:r>
    </w:p>
    <w:p w14:paraId="0FD31B6A">
      <w:pPr>
        <w:pStyle w:val="6"/>
        <w:numPr>
          <w:ilvl w:val="0"/>
          <w:numId w:val="3"/>
        </w:numPr>
        <w:adjustRightInd w:val="0"/>
        <w:snapToGrid w:val="0"/>
        <w:rPr>
          <w:rFonts w:hint="eastAsia"/>
        </w:rPr>
      </w:pPr>
      <w:r>
        <w:rPr>
          <w:rFonts w:hint="eastAsia"/>
        </w:rPr>
        <w:t>“创新、协调、绿色、开放、共享”理念的政治经济学解读</w:t>
      </w:r>
    </w:p>
    <w:p w14:paraId="4723E8A0">
      <w:pPr>
        <w:pStyle w:val="6"/>
        <w:adjustRightInd w:val="0"/>
        <w:snapToGrid w:val="0"/>
        <w:spacing w:before="0" w:beforeAutospacing="0" w:after="0" w:afterAutospacing="0"/>
        <w:ind w:firstLine="482" w:firstLineChars="200"/>
        <w:rPr>
          <w:rFonts w:hint="eastAsia"/>
          <w:b/>
        </w:rPr>
      </w:pPr>
      <w:r>
        <w:rPr>
          <w:rFonts w:hint="eastAsia"/>
          <w:b/>
        </w:rPr>
        <w:t>第二部分  西方经济学原理</w:t>
      </w:r>
    </w:p>
    <w:p w14:paraId="4032544C">
      <w:pPr>
        <w:pStyle w:val="6"/>
        <w:numPr>
          <w:ilvl w:val="0"/>
          <w:numId w:val="3"/>
        </w:numPr>
        <w:adjustRightInd w:val="0"/>
        <w:snapToGrid w:val="0"/>
        <w:rPr>
          <w:rFonts w:hint="eastAsia"/>
        </w:rPr>
      </w:pPr>
      <w:r>
        <w:rPr>
          <w:rFonts w:hint="eastAsia"/>
        </w:rPr>
        <w:t>供求理论</w:t>
      </w:r>
    </w:p>
    <w:p w14:paraId="5669687E">
      <w:pPr>
        <w:pStyle w:val="6"/>
        <w:numPr>
          <w:ilvl w:val="0"/>
          <w:numId w:val="3"/>
        </w:numPr>
        <w:adjustRightInd w:val="0"/>
        <w:snapToGrid w:val="0"/>
        <w:rPr>
          <w:rFonts w:hint="eastAsia"/>
        </w:rPr>
      </w:pPr>
      <w:r>
        <w:rPr>
          <w:rFonts w:hint="eastAsia"/>
        </w:rPr>
        <w:t>消费者行为理论</w:t>
      </w:r>
    </w:p>
    <w:p w14:paraId="3F1AD9F8">
      <w:pPr>
        <w:pStyle w:val="6"/>
        <w:numPr>
          <w:ilvl w:val="0"/>
          <w:numId w:val="3"/>
        </w:numPr>
        <w:adjustRightInd w:val="0"/>
        <w:snapToGrid w:val="0"/>
        <w:rPr>
          <w:rFonts w:hint="eastAsia"/>
        </w:rPr>
      </w:pPr>
      <w:r>
        <w:rPr>
          <w:rFonts w:hint="eastAsia"/>
        </w:rPr>
        <w:t>生产理论</w:t>
      </w:r>
    </w:p>
    <w:p w14:paraId="64BD14EB">
      <w:pPr>
        <w:pStyle w:val="6"/>
        <w:numPr>
          <w:ilvl w:val="0"/>
          <w:numId w:val="3"/>
        </w:numPr>
        <w:adjustRightInd w:val="0"/>
        <w:snapToGrid w:val="0"/>
        <w:rPr>
          <w:rFonts w:hint="eastAsia"/>
        </w:rPr>
      </w:pPr>
      <w:r>
        <w:rPr>
          <w:rFonts w:hint="eastAsia"/>
        </w:rPr>
        <w:t>成本理论</w:t>
      </w:r>
    </w:p>
    <w:p w14:paraId="1A5FA5A8">
      <w:pPr>
        <w:pStyle w:val="6"/>
        <w:numPr>
          <w:ilvl w:val="0"/>
          <w:numId w:val="3"/>
        </w:numPr>
        <w:adjustRightInd w:val="0"/>
        <w:snapToGrid w:val="0"/>
        <w:rPr>
          <w:rFonts w:hint="eastAsia"/>
        </w:rPr>
      </w:pPr>
      <w:r>
        <w:rPr>
          <w:rFonts w:hint="eastAsia"/>
        </w:rPr>
        <w:t>市场结构理论(包括生产要素市场)</w:t>
      </w:r>
    </w:p>
    <w:p w14:paraId="2B84D0ED">
      <w:pPr>
        <w:pStyle w:val="6"/>
        <w:numPr>
          <w:ilvl w:val="0"/>
          <w:numId w:val="3"/>
        </w:numPr>
        <w:adjustRightInd w:val="0"/>
        <w:snapToGrid w:val="0"/>
        <w:rPr>
          <w:rFonts w:hint="eastAsia"/>
        </w:rPr>
      </w:pPr>
      <w:r>
        <w:rPr>
          <w:rFonts w:hint="eastAsia"/>
        </w:rPr>
        <w:t>一般均衡理论</w:t>
      </w:r>
    </w:p>
    <w:p w14:paraId="40DD8D3C">
      <w:pPr>
        <w:pStyle w:val="6"/>
        <w:numPr>
          <w:ilvl w:val="0"/>
          <w:numId w:val="3"/>
        </w:numPr>
        <w:adjustRightInd w:val="0"/>
        <w:snapToGrid w:val="0"/>
        <w:rPr>
          <w:rFonts w:hint="eastAsia"/>
        </w:rPr>
      </w:pPr>
      <w:r>
        <w:rPr>
          <w:rFonts w:hint="eastAsia"/>
        </w:rPr>
        <w:t>国民收入核算理论</w:t>
      </w:r>
    </w:p>
    <w:p w14:paraId="14015FFD">
      <w:pPr>
        <w:pStyle w:val="6"/>
        <w:numPr>
          <w:ilvl w:val="0"/>
          <w:numId w:val="3"/>
        </w:numPr>
        <w:adjustRightInd w:val="0"/>
        <w:snapToGrid w:val="0"/>
        <w:rPr>
          <w:rFonts w:hint="eastAsia"/>
        </w:rPr>
      </w:pPr>
      <w:r>
        <w:rPr>
          <w:rFonts w:hint="eastAsia"/>
        </w:rPr>
        <w:t>短期收入决定理论</w:t>
      </w:r>
    </w:p>
    <w:p w14:paraId="6084558A">
      <w:pPr>
        <w:pStyle w:val="6"/>
        <w:numPr>
          <w:ilvl w:val="0"/>
          <w:numId w:val="3"/>
        </w:numPr>
        <w:adjustRightInd w:val="0"/>
        <w:snapToGrid w:val="0"/>
        <w:rPr>
          <w:rFonts w:hint="eastAsia"/>
        </w:rPr>
      </w:pPr>
      <w:r>
        <w:rPr>
          <w:rFonts w:hint="eastAsia"/>
        </w:rPr>
        <w:t>消费决定理论</w:t>
      </w:r>
    </w:p>
    <w:p w14:paraId="7A4167F5">
      <w:pPr>
        <w:pStyle w:val="6"/>
        <w:numPr>
          <w:ilvl w:val="0"/>
          <w:numId w:val="3"/>
        </w:numPr>
        <w:adjustRightInd w:val="0"/>
        <w:snapToGrid w:val="0"/>
        <w:rPr>
          <w:rFonts w:hint="eastAsia"/>
        </w:rPr>
      </w:pPr>
      <w:r>
        <w:rPr>
          <w:rFonts w:hint="eastAsia"/>
        </w:rPr>
        <w:t>投资、政府支出理论</w:t>
      </w:r>
    </w:p>
    <w:p w14:paraId="1E50D72C">
      <w:pPr>
        <w:pStyle w:val="6"/>
        <w:numPr>
          <w:ilvl w:val="0"/>
          <w:numId w:val="3"/>
        </w:numPr>
        <w:adjustRightInd w:val="0"/>
        <w:snapToGrid w:val="0"/>
        <w:rPr>
          <w:rFonts w:hint="eastAsia"/>
        </w:rPr>
      </w:pPr>
      <w:r>
        <w:rPr>
          <w:rFonts w:hint="eastAsia"/>
        </w:rPr>
        <w:t>封闭经济中的产品市场与货币市场均衡理论</w:t>
      </w:r>
    </w:p>
    <w:p w14:paraId="32F5D468">
      <w:pPr>
        <w:pStyle w:val="6"/>
        <w:numPr>
          <w:ilvl w:val="0"/>
          <w:numId w:val="3"/>
        </w:numPr>
        <w:adjustRightInd w:val="0"/>
        <w:snapToGrid w:val="0"/>
        <w:rPr>
          <w:rFonts w:hint="eastAsia"/>
        </w:rPr>
      </w:pPr>
      <w:r>
        <w:rPr>
          <w:rFonts w:hint="eastAsia"/>
        </w:rPr>
        <w:t>财政货币政策工具及其效应评价</w:t>
      </w:r>
    </w:p>
    <w:p w14:paraId="2D6AD180">
      <w:pPr>
        <w:pStyle w:val="6"/>
        <w:numPr>
          <w:ilvl w:val="0"/>
          <w:numId w:val="3"/>
        </w:numPr>
        <w:adjustRightInd w:val="0"/>
        <w:snapToGrid w:val="0"/>
        <w:spacing w:before="0" w:beforeAutospacing="0" w:after="0" w:afterAutospacing="0"/>
      </w:pPr>
      <w:r>
        <w:rPr>
          <w:rFonts w:hint="eastAsia"/>
        </w:rPr>
        <w:t>赤字、失业与通货膨胀</w:t>
      </w:r>
    </w:p>
    <w:p w14:paraId="1B42085A">
      <w:pPr>
        <w:pStyle w:val="6"/>
        <w:adjustRightInd w:val="0"/>
        <w:snapToGrid w:val="0"/>
        <w:spacing w:before="0" w:beforeAutospacing="0" w:after="0" w:afterAutospacing="0"/>
        <w:ind w:left="480"/>
        <w:rPr>
          <w:rFonts w:hint="eastAsia"/>
        </w:rPr>
      </w:pPr>
    </w:p>
    <w:p w14:paraId="3E99A9B5">
      <w:pPr>
        <w:pStyle w:val="6"/>
        <w:adjustRightInd w:val="0"/>
        <w:snapToGrid w:val="0"/>
        <w:spacing w:before="0" w:beforeAutospacing="0" w:after="0" w:afterAutospacing="0"/>
        <w:ind w:firstLine="482" w:firstLineChars="200"/>
        <w:rPr>
          <w:rFonts w:hint="eastAsia"/>
          <w:b/>
        </w:rPr>
      </w:pPr>
      <w:r>
        <w:rPr>
          <w:rFonts w:hint="eastAsia"/>
          <w:b/>
        </w:rPr>
        <w:t xml:space="preserve">第三部分  </w:t>
      </w:r>
      <w:bookmarkStart w:id="0" w:name="_Hlk514772691"/>
      <w:r>
        <w:rPr>
          <w:rFonts w:hint="eastAsia"/>
          <w:b/>
        </w:rPr>
        <w:t>世界经济原理</w:t>
      </w:r>
      <w:bookmarkEnd w:id="0"/>
    </w:p>
    <w:p w14:paraId="48D50916">
      <w:pPr>
        <w:pStyle w:val="6"/>
        <w:numPr>
          <w:ilvl w:val="0"/>
          <w:numId w:val="3"/>
        </w:numPr>
        <w:adjustRightInd w:val="0"/>
        <w:snapToGrid w:val="0"/>
        <w:spacing w:before="0" w:beforeAutospacing="0" w:after="0" w:afterAutospacing="0"/>
      </w:pPr>
      <w:r>
        <w:rPr>
          <w:rFonts w:hint="eastAsia"/>
        </w:rPr>
        <w:t>国际分工</w:t>
      </w:r>
    </w:p>
    <w:p w14:paraId="0458F6DA">
      <w:pPr>
        <w:pStyle w:val="6"/>
        <w:numPr>
          <w:ilvl w:val="0"/>
          <w:numId w:val="3"/>
        </w:numPr>
        <w:adjustRightInd w:val="0"/>
        <w:snapToGrid w:val="0"/>
        <w:spacing w:before="0" w:beforeAutospacing="0" w:after="0" w:afterAutospacing="0"/>
      </w:pPr>
      <w:r>
        <w:rPr>
          <w:rFonts w:hint="eastAsia"/>
        </w:rPr>
        <w:t>世界市场</w:t>
      </w:r>
    </w:p>
    <w:p w14:paraId="0301A54D">
      <w:pPr>
        <w:pStyle w:val="6"/>
        <w:numPr>
          <w:ilvl w:val="0"/>
          <w:numId w:val="3"/>
        </w:numPr>
        <w:adjustRightInd w:val="0"/>
        <w:snapToGrid w:val="0"/>
        <w:spacing w:before="0" w:beforeAutospacing="0" w:after="0" w:afterAutospacing="0"/>
      </w:pPr>
      <w:r>
        <w:rPr>
          <w:rFonts w:hint="eastAsia"/>
        </w:rPr>
        <w:t>世界经济格局</w:t>
      </w:r>
    </w:p>
    <w:p w14:paraId="0AA2DE5F">
      <w:pPr>
        <w:pStyle w:val="6"/>
        <w:numPr>
          <w:ilvl w:val="0"/>
          <w:numId w:val="3"/>
        </w:numPr>
        <w:adjustRightInd w:val="0"/>
        <w:snapToGrid w:val="0"/>
        <w:spacing w:before="0" w:beforeAutospacing="0" w:after="0" w:afterAutospacing="0"/>
      </w:pPr>
      <w:r>
        <w:rPr>
          <w:rFonts w:hint="eastAsia"/>
        </w:rPr>
        <w:t>世界经济危机</w:t>
      </w:r>
    </w:p>
    <w:p w14:paraId="26FB5641">
      <w:pPr>
        <w:pStyle w:val="6"/>
        <w:numPr>
          <w:ilvl w:val="0"/>
          <w:numId w:val="3"/>
        </w:numPr>
        <w:adjustRightInd w:val="0"/>
        <w:snapToGrid w:val="0"/>
        <w:spacing w:before="0" w:beforeAutospacing="0" w:after="0" w:afterAutospacing="0"/>
      </w:pPr>
      <w:r>
        <w:rPr>
          <w:rFonts w:hint="eastAsia"/>
        </w:rPr>
        <w:t>国际经济关系</w:t>
      </w:r>
    </w:p>
    <w:p w14:paraId="214D7721">
      <w:pPr>
        <w:pStyle w:val="6"/>
        <w:numPr>
          <w:ilvl w:val="0"/>
          <w:numId w:val="3"/>
        </w:numPr>
        <w:adjustRightInd w:val="0"/>
        <w:snapToGrid w:val="0"/>
        <w:spacing w:before="0" w:beforeAutospacing="0" w:after="0" w:afterAutospacing="0"/>
      </w:pPr>
      <w:r>
        <w:rPr>
          <w:rFonts w:hint="eastAsia"/>
        </w:rPr>
        <w:t>国际经济协调</w:t>
      </w:r>
    </w:p>
    <w:p w14:paraId="28611407">
      <w:pPr>
        <w:pStyle w:val="6"/>
        <w:numPr>
          <w:ilvl w:val="0"/>
          <w:numId w:val="3"/>
        </w:numPr>
        <w:adjustRightInd w:val="0"/>
        <w:snapToGrid w:val="0"/>
        <w:spacing w:before="0" w:beforeAutospacing="0" w:after="0" w:afterAutospacing="0"/>
      </w:pPr>
      <w:r>
        <w:rPr>
          <w:rFonts w:hint="eastAsia"/>
        </w:rPr>
        <w:t>国际经济组织</w:t>
      </w:r>
    </w:p>
    <w:p w14:paraId="62F0776F">
      <w:pPr>
        <w:pStyle w:val="6"/>
        <w:numPr>
          <w:ilvl w:val="0"/>
          <w:numId w:val="3"/>
        </w:numPr>
        <w:adjustRightInd w:val="0"/>
        <w:snapToGrid w:val="0"/>
        <w:spacing w:before="0" w:beforeAutospacing="0" w:after="0" w:afterAutospacing="0"/>
      </w:pPr>
      <w:r>
        <w:rPr>
          <w:rFonts w:hint="eastAsia"/>
        </w:rPr>
        <w:t>经济全球化</w:t>
      </w:r>
    </w:p>
    <w:p w14:paraId="1F54AFAC">
      <w:pPr>
        <w:pStyle w:val="6"/>
        <w:numPr>
          <w:ilvl w:val="0"/>
          <w:numId w:val="3"/>
        </w:numPr>
        <w:adjustRightInd w:val="0"/>
        <w:snapToGrid w:val="0"/>
        <w:spacing w:before="0" w:beforeAutospacing="0" w:after="0" w:afterAutospacing="0"/>
      </w:pPr>
      <w:r>
        <w:rPr>
          <w:rFonts w:hint="eastAsia"/>
        </w:rPr>
        <w:t>区域经济一体化</w:t>
      </w:r>
    </w:p>
    <w:p w14:paraId="6180FC90">
      <w:pPr>
        <w:pStyle w:val="6"/>
        <w:numPr>
          <w:ilvl w:val="0"/>
          <w:numId w:val="3"/>
        </w:numPr>
        <w:adjustRightInd w:val="0"/>
        <w:snapToGrid w:val="0"/>
        <w:spacing w:before="0" w:beforeAutospacing="0" w:after="0" w:afterAutospacing="0"/>
      </w:pPr>
      <w:r>
        <w:rPr>
          <w:rFonts w:hint="eastAsia"/>
        </w:rPr>
        <w:t>国别经济</w:t>
      </w:r>
    </w:p>
    <w:p w14:paraId="3E427C35">
      <w:pPr>
        <w:pStyle w:val="6"/>
        <w:numPr>
          <w:ilvl w:val="0"/>
          <w:numId w:val="3"/>
        </w:numPr>
        <w:adjustRightInd w:val="0"/>
        <w:snapToGrid w:val="0"/>
        <w:spacing w:before="0" w:beforeAutospacing="0" w:after="0" w:afterAutospacing="0"/>
        <w:rPr>
          <w:rFonts w:hint="eastAsia"/>
        </w:rPr>
      </w:pPr>
      <w:r>
        <w:rPr>
          <w:rFonts w:hint="eastAsia"/>
        </w:rPr>
        <w:t>对外开放、国际经济关系与全球治理机制</w:t>
      </w:r>
    </w:p>
    <w:p w14:paraId="1CF0F7D6">
      <w:pPr>
        <w:pStyle w:val="6"/>
        <w:adjustRightInd w:val="0"/>
        <w:snapToGrid w:val="0"/>
        <w:spacing w:before="0" w:beforeAutospacing="0" w:after="0" w:afterAutospacing="0"/>
        <w:ind w:left="360"/>
        <w:rPr>
          <w:rFonts w:hint="eastAsia"/>
        </w:rPr>
      </w:pPr>
    </w:p>
    <w:p w14:paraId="6D37C3E9">
      <w:pPr>
        <w:pStyle w:val="6"/>
        <w:adjustRightInd w:val="0"/>
        <w:snapToGrid w:val="0"/>
        <w:spacing w:before="0" w:beforeAutospacing="0" w:after="0" w:afterAutospacing="0"/>
        <w:ind w:firstLine="482" w:firstLineChars="200"/>
        <w:rPr>
          <w:rFonts w:hint="eastAsia"/>
          <w:b/>
        </w:rPr>
      </w:pPr>
      <w:r>
        <w:rPr>
          <w:rFonts w:hint="eastAsia"/>
          <w:b/>
        </w:rPr>
        <w:t xml:space="preserve">第四部分  </w:t>
      </w:r>
      <w:bookmarkStart w:id="1" w:name="_Hlk514772708"/>
      <w:r>
        <w:rPr>
          <w:rFonts w:hint="eastAsia"/>
          <w:b/>
        </w:rPr>
        <w:t>人口、资源与环境经济学原理</w:t>
      </w:r>
      <w:bookmarkEnd w:id="1"/>
    </w:p>
    <w:p w14:paraId="0265CC6F">
      <w:pPr>
        <w:pStyle w:val="6"/>
        <w:numPr>
          <w:ilvl w:val="0"/>
          <w:numId w:val="3"/>
        </w:numPr>
        <w:adjustRightInd w:val="0"/>
        <w:snapToGrid w:val="0"/>
        <w:spacing w:before="0" w:beforeAutospacing="0" w:after="0" w:afterAutospacing="0"/>
        <w:rPr>
          <w:rFonts w:hint="eastAsia"/>
        </w:rPr>
      </w:pPr>
      <w:r>
        <w:rPr>
          <w:rFonts w:hint="eastAsia"/>
        </w:rPr>
        <w:t>人口经济学理论发展</w:t>
      </w:r>
    </w:p>
    <w:p w14:paraId="2E481098">
      <w:pPr>
        <w:pStyle w:val="6"/>
        <w:numPr>
          <w:ilvl w:val="0"/>
          <w:numId w:val="3"/>
        </w:numPr>
        <w:adjustRightInd w:val="0"/>
        <w:snapToGrid w:val="0"/>
        <w:spacing w:before="0" w:beforeAutospacing="0" w:after="0" w:afterAutospacing="0"/>
        <w:rPr>
          <w:rFonts w:hint="eastAsia"/>
        </w:rPr>
      </w:pPr>
      <w:r>
        <w:rPr>
          <w:rFonts w:hint="eastAsia"/>
        </w:rPr>
        <w:t>资源与环境经济学发展</w:t>
      </w:r>
    </w:p>
    <w:p w14:paraId="21A85376">
      <w:pPr>
        <w:pStyle w:val="6"/>
        <w:numPr>
          <w:ilvl w:val="0"/>
          <w:numId w:val="3"/>
        </w:numPr>
        <w:adjustRightInd w:val="0"/>
        <w:snapToGrid w:val="0"/>
        <w:spacing w:before="0" w:beforeAutospacing="0" w:after="0" w:afterAutospacing="0"/>
        <w:rPr>
          <w:rFonts w:hint="eastAsia"/>
        </w:rPr>
      </w:pPr>
      <w:r>
        <w:rPr>
          <w:rFonts w:hint="eastAsia"/>
        </w:rPr>
        <w:t>生态经济协调发展理论</w:t>
      </w:r>
    </w:p>
    <w:p w14:paraId="2D3F02C1">
      <w:pPr>
        <w:pStyle w:val="6"/>
        <w:numPr>
          <w:ilvl w:val="0"/>
          <w:numId w:val="3"/>
        </w:numPr>
        <w:adjustRightInd w:val="0"/>
        <w:snapToGrid w:val="0"/>
        <w:spacing w:before="0" w:beforeAutospacing="0" w:after="0" w:afterAutospacing="0"/>
      </w:pPr>
      <w:r>
        <w:rPr>
          <w:rFonts w:hint="eastAsia"/>
        </w:rPr>
        <w:t>宏观与微观人口经济理论</w:t>
      </w:r>
    </w:p>
    <w:p w14:paraId="25E256F5">
      <w:pPr>
        <w:pStyle w:val="6"/>
        <w:numPr>
          <w:ilvl w:val="0"/>
          <w:numId w:val="3"/>
        </w:numPr>
        <w:adjustRightInd w:val="0"/>
        <w:snapToGrid w:val="0"/>
        <w:spacing w:before="0" w:beforeAutospacing="0" w:after="0" w:afterAutospacing="0"/>
        <w:rPr>
          <w:rFonts w:hint="eastAsia"/>
        </w:rPr>
      </w:pPr>
      <w:r>
        <w:rPr>
          <w:rFonts w:hint="eastAsia"/>
        </w:rPr>
        <w:t>自然资源系统理论</w:t>
      </w:r>
    </w:p>
    <w:p w14:paraId="1FB80F33">
      <w:pPr>
        <w:pStyle w:val="6"/>
        <w:numPr>
          <w:ilvl w:val="0"/>
          <w:numId w:val="3"/>
        </w:numPr>
        <w:adjustRightInd w:val="0"/>
        <w:snapToGrid w:val="0"/>
        <w:spacing w:before="0" w:beforeAutospacing="0" w:after="0" w:afterAutospacing="0"/>
        <w:rPr>
          <w:rFonts w:hint="eastAsia"/>
        </w:rPr>
      </w:pPr>
      <w:r>
        <w:rPr>
          <w:rFonts w:hint="eastAsia"/>
        </w:rPr>
        <w:t>人口与资源环境动态理论</w:t>
      </w:r>
    </w:p>
    <w:p w14:paraId="67360D15">
      <w:pPr>
        <w:adjustRightInd w:val="0"/>
        <w:snapToGrid w:val="0"/>
      </w:pPr>
    </w:p>
    <w:p w14:paraId="4BFEC02E">
      <w:pPr>
        <w:adjustRightInd w:val="0"/>
        <w:snapToGrid w:val="0"/>
        <w:ind w:firstLine="3360" w:firstLineChars="1600"/>
        <w:rPr>
          <w:rFonts w:hint="eastAsia"/>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7B098">
    <w:pPr>
      <w:pStyle w:val="5"/>
      <w:pBdr>
        <w:bottom w:val="none" w:color="auto" w:sz="0" w:space="0"/>
      </w:pBdr>
      <w:jc w:val="both"/>
      <w:rPr>
        <w:rFonts w:hint="eastAsia"/>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A1F81"/>
    <w:multiLevelType w:val="multilevel"/>
    <w:tmpl w:val="08AA1F81"/>
    <w:lvl w:ilvl="0" w:tentative="0">
      <w:start w:val="1"/>
      <w:numFmt w:val="bullet"/>
      <w:lvlText w:val=""/>
      <w:lvlJc w:val="left"/>
      <w:pPr>
        <w:tabs>
          <w:tab w:val="left" w:pos="357"/>
        </w:tabs>
        <w:ind w:left="0" w:firstLine="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117F67E5"/>
    <w:multiLevelType w:val="multilevel"/>
    <w:tmpl w:val="117F67E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3594DB9"/>
    <w:multiLevelType w:val="multilevel"/>
    <w:tmpl w:val="23594D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mYzc1MDUzMTRjODk3YzRjNjAyNDEzZmU0ZWNlZDQifQ=="/>
  </w:docVars>
  <w:rsids>
    <w:rsidRoot w:val="00172A27"/>
    <w:rsid w:val="0000016D"/>
    <w:rsid w:val="0001407D"/>
    <w:rsid w:val="000175B6"/>
    <w:rsid w:val="00026FBC"/>
    <w:rsid w:val="00031B2A"/>
    <w:rsid w:val="00031CB2"/>
    <w:rsid w:val="0003635A"/>
    <w:rsid w:val="0005406E"/>
    <w:rsid w:val="00061400"/>
    <w:rsid w:val="00074BB2"/>
    <w:rsid w:val="00087FE8"/>
    <w:rsid w:val="000949CE"/>
    <w:rsid w:val="000A1311"/>
    <w:rsid w:val="000D78D9"/>
    <w:rsid w:val="000E2595"/>
    <w:rsid w:val="000E6684"/>
    <w:rsid w:val="000F7A68"/>
    <w:rsid w:val="0010072F"/>
    <w:rsid w:val="00121D71"/>
    <w:rsid w:val="001427C8"/>
    <w:rsid w:val="001578B9"/>
    <w:rsid w:val="0016592F"/>
    <w:rsid w:val="0016650F"/>
    <w:rsid w:val="0017057B"/>
    <w:rsid w:val="00175A2F"/>
    <w:rsid w:val="00176D8C"/>
    <w:rsid w:val="001B2943"/>
    <w:rsid w:val="001B5C9A"/>
    <w:rsid w:val="001D39A4"/>
    <w:rsid w:val="001D74D4"/>
    <w:rsid w:val="001F4F33"/>
    <w:rsid w:val="001F7EDC"/>
    <w:rsid w:val="0020247F"/>
    <w:rsid w:val="00204D21"/>
    <w:rsid w:val="002118B7"/>
    <w:rsid w:val="00213948"/>
    <w:rsid w:val="00213E72"/>
    <w:rsid w:val="00224109"/>
    <w:rsid w:val="002262EF"/>
    <w:rsid w:val="00235323"/>
    <w:rsid w:val="002360E4"/>
    <w:rsid w:val="00236D79"/>
    <w:rsid w:val="0024051E"/>
    <w:rsid w:val="00247C69"/>
    <w:rsid w:val="002533B1"/>
    <w:rsid w:val="002564B0"/>
    <w:rsid w:val="00266B1F"/>
    <w:rsid w:val="002741A2"/>
    <w:rsid w:val="00282640"/>
    <w:rsid w:val="00284730"/>
    <w:rsid w:val="00284AC0"/>
    <w:rsid w:val="002A57C5"/>
    <w:rsid w:val="002B0622"/>
    <w:rsid w:val="002D0DAE"/>
    <w:rsid w:val="002D34FF"/>
    <w:rsid w:val="002D6C3C"/>
    <w:rsid w:val="002E6968"/>
    <w:rsid w:val="002F66E9"/>
    <w:rsid w:val="00312339"/>
    <w:rsid w:val="00347809"/>
    <w:rsid w:val="0037778A"/>
    <w:rsid w:val="00377C88"/>
    <w:rsid w:val="00386F1D"/>
    <w:rsid w:val="0039335F"/>
    <w:rsid w:val="003A1A45"/>
    <w:rsid w:val="003A6268"/>
    <w:rsid w:val="003C2560"/>
    <w:rsid w:val="003D4DCC"/>
    <w:rsid w:val="003D6D8A"/>
    <w:rsid w:val="003E6942"/>
    <w:rsid w:val="004039A4"/>
    <w:rsid w:val="00413921"/>
    <w:rsid w:val="00421311"/>
    <w:rsid w:val="00422E2F"/>
    <w:rsid w:val="00426B2E"/>
    <w:rsid w:val="0044350B"/>
    <w:rsid w:val="00481674"/>
    <w:rsid w:val="00482347"/>
    <w:rsid w:val="00495EF7"/>
    <w:rsid w:val="004A2584"/>
    <w:rsid w:val="004B0C00"/>
    <w:rsid w:val="004B4417"/>
    <w:rsid w:val="004B60B6"/>
    <w:rsid w:val="004C49CF"/>
    <w:rsid w:val="004C5D0A"/>
    <w:rsid w:val="004C66A0"/>
    <w:rsid w:val="004D0F05"/>
    <w:rsid w:val="004D16FF"/>
    <w:rsid w:val="004E3545"/>
    <w:rsid w:val="004E4292"/>
    <w:rsid w:val="004F6114"/>
    <w:rsid w:val="0050340B"/>
    <w:rsid w:val="0051064C"/>
    <w:rsid w:val="005216E1"/>
    <w:rsid w:val="00546F61"/>
    <w:rsid w:val="005538DC"/>
    <w:rsid w:val="00560149"/>
    <w:rsid w:val="005666FD"/>
    <w:rsid w:val="005739E8"/>
    <w:rsid w:val="0059748E"/>
    <w:rsid w:val="00597E9D"/>
    <w:rsid w:val="005A5D88"/>
    <w:rsid w:val="005B71E7"/>
    <w:rsid w:val="005C265C"/>
    <w:rsid w:val="005C31A4"/>
    <w:rsid w:val="005E619C"/>
    <w:rsid w:val="005F2F30"/>
    <w:rsid w:val="00605CF2"/>
    <w:rsid w:val="006157C8"/>
    <w:rsid w:val="00636C88"/>
    <w:rsid w:val="00642B58"/>
    <w:rsid w:val="00656C85"/>
    <w:rsid w:val="006651E7"/>
    <w:rsid w:val="00676019"/>
    <w:rsid w:val="006814FA"/>
    <w:rsid w:val="006835E1"/>
    <w:rsid w:val="006854F2"/>
    <w:rsid w:val="006A63C9"/>
    <w:rsid w:val="006A7A29"/>
    <w:rsid w:val="006B331C"/>
    <w:rsid w:val="006B3375"/>
    <w:rsid w:val="006C1EE1"/>
    <w:rsid w:val="006C204A"/>
    <w:rsid w:val="006D3D59"/>
    <w:rsid w:val="006D7DFB"/>
    <w:rsid w:val="006F54FF"/>
    <w:rsid w:val="0070005E"/>
    <w:rsid w:val="00702FDE"/>
    <w:rsid w:val="007072B3"/>
    <w:rsid w:val="00713EEA"/>
    <w:rsid w:val="007232CA"/>
    <w:rsid w:val="0073162D"/>
    <w:rsid w:val="007373AF"/>
    <w:rsid w:val="00737C7C"/>
    <w:rsid w:val="00743456"/>
    <w:rsid w:val="00756C08"/>
    <w:rsid w:val="007858FC"/>
    <w:rsid w:val="00796713"/>
    <w:rsid w:val="007A743B"/>
    <w:rsid w:val="007B4523"/>
    <w:rsid w:val="007B4BE5"/>
    <w:rsid w:val="007B6F3E"/>
    <w:rsid w:val="007C7CA0"/>
    <w:rsid w:val="007E194B"/>
    <w:rsid w:val="007F5D94"/>
    <w:rsid w:val="00802762"/>
    <w:rsid w:val="00811FB9"/>
    <w:rsid w:val="00812C21"/>
    <w:rsid w:val="00813A2B"/>
    <w:rsid w:val="00815FD7"/>
    <w:rsid w:val="0083212D"/>
    <w:rsid w:val="00834D39"/>
    <w:rsid w:val="0085030D"/>
    <w:rsid w:val="00870512"/>
    <w:rsid w:val="00876241"/>
    <w:rsid w:val="00876DB8"/>
    <w:rsid w:val="008808E4"/>
    <w:rsid w:val="00884D10"/>
    <w:rsid w:val="00892CBD"/>
    <w:rsid w:val="0089392B"/>
    <w:rsid w:val="008A25E5"/>
    <w:rsid w:val="008A380B"/>
    <w:rsid w:val="008C1F51"/>
    <w:rsid w:val="008D0FF3"/>
    <w:rsid w:val="008D6C98"/>
    <w:rsid w:val="008E156D"/>
    <w:rsid w:val="008E27F1"/>
    <w:rsid w:val="008F4CB7"/>
    <w:rsid w:val="00902D8E"/>
    <w:rsid w:val="009069C5"/>
    <w:rsid w:val="0092597B"/>
    <w:rsid w:val="00926786"/>
    <w:rsid w:val="00931308"/>
    <w:rsid w:val="00933534"/>
    <w:rsid w:val="00937415"/>
    <w:rsid w:val="009533A1"/>
    <w:rsid w:val="0095750F"/>
    <w:rsid w:val="009631C6"/>
    <w:rsid w:val="00971D78"/>
    <w:rsid w:val="009749CA"/>
    <w:rsid w:val="00983C03"/>
    <w:rsid w:val="00997F70"/>
    <w:rsid w:val="009A0C86"/>
    <w:rsid w:val="009A5B6F"/>
    <w:rsid w:val="009D1984"/>
    <w:rsid w:val="009F1620"/>
    <w:rsid w:val="009F757A"/>
    <w:rsid w:val="00A104E1"/>
    <w:rsid w:val="00A10F68"/>
    <w:rsid w:val="00A1583E"/>
    <w:rsid w:val="00A205EC"/>
    <w:rsid w:val="00A229C1"/>
    <w:rsid w:val="00A340D7"/>
    <w:rsid w:val="00A34641"/>
    <w:rsid w:val="00A3688E"/>
    <w:rsid w:val="00A44424"/>
    <w:rsid w:val="00A45489"/>
    <w:rsid w:val="00A53306"/>
    <w:rsid w:val="00A57D1A"/>
    <w:rsid w:val="00A6529D"/>
    <w:rsid w:val="00A767F4"/>
    <w:rsid w:val="00A81B31"/>
    <w:rsid w:val="00AA357D"/>
    <w:rsid w:val="00AA4D6F"/>
    <w:rsid w:val="00AB0E1B"/>
    <w:rsid w:val="00AC4367"/>
    <w:rsid w:val="00AC77C4"/>
    <w:rsid w:val="00AD00C4"/>
    <w:rsid w:val="00AE007C"/>
    <w:rsid w:val="00AE06BC"/>
    <w:rsid w:val="00AF2A8B"/>
    <w:rsid w:val="00AF3E42"/>
    <w:rsid w:val="00AF5069"/>
    <w:rsid w:val="00AF7FEC"/>
    <w:rsid w:val="00B013A8"/>
    <w:rsid w:val="00B07804"/>
    <w:rsid w:val="00B10CE9"/>
    <w:rsid w:val="00B126CE"/>
    <w:rsid w:val="00B204A5"/>
    <w:rsid w:val="00B5154F"/>
    <w:rsid w:val="00B56159"/>
    <w:rsid w:val="00B839B3"/>
    <w:rsid w:val="00B85F8A"/>
    <w:rsid w:val="00B9079A"/>
    <w:rsid w:val="00B93269"/>
    <w:rsid w:val="00BB33AD"/>
    <w:rsid w:val="00BB5FA7"/>
    <w:rsid w:val="00BC508A"/>
    <w:rsid w:val="00BC5AF1"/>
    <w:rsid w:val="00BC5FDE"/>
    <w:rsid w:val="00BE0CD3"/>
    <w:rsid w:val="00C02F96"/>
    <w:rsid w:val="00C04C29"/>
    <w:rsid w:val="00C05C26"/>
    <w:rsid w:val="00C20E5C"/>
    <w:rsid w:val="00C226A5"/>
    <w:rsid w:val="00C26D38"/>
    <w:rsid w:val="00C3358D"/>
    <w:rsid w:val="00C42B1C"/>
    <w:rsid w:val="00C55011"/>
    <w:rsid w:val="00C56F0E"/>
    <w:rsid w:val="00C6238F"/>
    <w:rsid w:val="00C670A5"/>
    <w:rsid w:val="00CB0AC4"/>
    <w:rsid w:val="00CD76A5"/>
    <w:rsid w:val="00CE5342"/>
    <w:rsid w:val="00CE7495"/>
    <w:rsid w:val="00CF70EC"/>
    <w:rsid w:val="00D0238F"/>
    <w:rsid w:val="00D10A06"/>
    <w:rsid w:val="00D30796"/>
    <w:rsid w:val="00D31F85"/>
    <w:rsid w:val="00D331E9"/>
    <w:rsid w:val="00D45357"/>
    <w:rsid w:val="00D46782"/>
    <w:rsid w:val="00D46998"/>
    <w:rsid w:val="00D51409"/>
    <w:rsid w:val="00D53DB7"/>
    <w:rsid w:val="00D678F3"/>
    <w:rsid w:val="00D80590"/>
    <w:rsid w:val="00D9498B"/>
    <w:rsid w:val="00DB2EFB"/>
    <w:rsid w:val="00DB6381"/>
    <w:rsid w:val="00DB69D2"/>
    <w:rsid w:val="00DC4093"/>
    <w:rsid w:val="00DC54C8"/>
    <w:rsid w:val="00DD3B21"/>
    <w:rsid w:val="00DE0624"/>
    <w:rsid w:val="00DF0249"/>
    <w:rsid w:val="00E02722"/>
    <w:rsid w:val="00E029F0"/>
    <w:rsid w:val="00E05353"/>
    <w:rsid w:val="00E06E4F"/>
    <w:rsid w:val="00E179BA"/>
    <w:rsid w:val="00E227AC"/>
    <w:rsid w:val="00E33C1D"/>
    <w:rsid w:val="00E34ED4"/>
    <w:rsid w:val="00E50452"/>
    <w:rsid w:val="00E55262"/>
    <w:rsid w:val="00E57904"/>
    <w:rsid w:val="00E61435"/>
    <w:rsid w:val="00E61E14"/>
    <w:rsid w:val="00E66EDD"/>
    <w:rsid w:val="00E778C1"/>
    <w:rsid w:val="00E82482"/>
    <w:rsid w:val="00E9436B"/>
    <w:rsid w:val="00E94B07"/>
    <w:rsid w:val="00EA505E"/>
    <w:rsid w:val="00EA5402"/>
    <w:rsid w:val="00EB1FFE"/>
    <w:rsid w:val="00ED4DE7"/>
    <w:rsid w:val="00ED5B3E"/>
    <w:rsid w:val="00ED5EAC"/>
    <w:rsid w:val="00ED6BE8"/>
    <w:rsid w:val="00EF030E"/>
    <w:rsid w:val="00EF6D5B"/>
    <w:rsid w:val="00F0157A"/>
    <w:rsid w:val="00F10388"/>
    <w:rsid w:val="00F14DC0"/>
    <w:rsid w:val="00F27E54"/>
    <w:rsid w:val="00F43621"/>
    <w:rsid w:val="00F85F4B"/>
    <w:rsid w:val="00F872D1"/>
    <w:rsid w:val="00FB128E"/>
    <w:rsid w:val="00FB26A2"/>
    <w:rsid w:val="00FB5D71"/>
    <w:rsid w:val="00FC4696"/>
    <w:rsid w:val="00FD27FA"/>
    <w:rsid w:val="00FD39B9"/>
    <w:rsid w:val="00FD6753"/>
    <w:rsid w:val="00FE0105"/>
    <w:rsid w:val="00FF179D"/>
    <w:rsid w:val="00FF77FD"/>
    <w:rsid w:val="07ED150B"/>
    <w:rsid w:val="09A955EB"/>
    <w:rsid w:val="0DB8090A"/>
    <w:rsid w:val="1C823409"/>
    <w:rsid w:val="29EA3B41"/>
    <w:rsid w:val="2EAA3B53"/>
    <w:rsid w:val="313A1156"/>
    <w:rsid w:val="32617C79"/>
    <w:rsid w:val="352A48BB"/>
    <w:rsid w:val="3D0C4C62"/>
    <w:rsid w:val="45E94E34"/>
    <w:rsid w:val="475063F8"/>
    <w:rsid w:val="609F5A7C"/>
    <w:rsid w:val="65522374"/>
    <w:rsid w:val="75754C74"/>
    <w:rsid w:val="7B6C40FC"/>
    <w:rsid w:val="7CCE7A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annotation text"/>
    <w:basedOn w:val="1"/>
    <w:link w:val="13"/>
    <w:autoRedefine/>
    <w:qFormat/>
    <w:uiPriority w:val="0"/>
    <w:pPr>
      <w:jc w:val="left"/>
    </w:pPr>
  </w:style>
  <w:style w:type="paragraph" w:styleId="3">
    <w:name w:val="Balloon Text"/>
    <w:basedOn w:val="1"/>
    <w:autoRedefine/>
    <w:semiHidden/>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7">
    <w:name w:val="annotation subject"/>
    <w:basedOn w:val="2"/>
    <w:next w:val="2"/>
    <w:link w:val="14"/>
    <w:autoRedefine/>
    <w:qFormat/>
    <w:uiPriority w:val="0"/>
    <w:rPr>
      <w:b/>
      <w:bCs/>
    </w:rPr>
  </w:style>
  <w:style w:type="character" w:styleId="10">
    <w:name w:val="page number"/>
    <w:autoRedefine/>
    <w:qFormat/>
    <w:uiPriority w:val="0"/>
  </w:style>
  <w:style w:type="character" w:styleId="11">
    <w:name w:val="Emphasis"/>
    <w:autoRedefine/>
    <w:qFormat/>
    <w:uiPriority w:val="0"/>
    <w:rPr>
      <w:color w:val="CC0000"/>
    </w:rPr>
  </w:style>
  <w:style w:type="character" w:styleId="12">
    <w:name w:val="annotation reference"/>
    <w:autoRedefine/>
    <w:qFormat/>
    <w:uiPriority w:val="0"/>
    <w:rPr>
      <w:sz w:val="21"/>
      <w:szCs w:val="21"/>
    </w:rPr>
  </w:style>
  <w:style w:type="character" w:customStyle="1" w:styleId="13">
    <w:name w:val="批注文字 字符"/>
    <w:link w:val="2"/>
    <w:autoRedefine/>
    <w:qFormat/>
    <w:uiPriority w:val="0"/>
    <w:rPr>
      <w:kern w:val="2"/>
      <w:sz w:val="21"/>
    </w:rPr>
  </w:style>
  <w:style w:type="character" w:customStyle="1" w:styleId="14">
    <w:name w:val="批注主题 字符"/>
    <w:link w:val="7"/>
    <w:autoRedefine/>
    <w:qFormat/>
    <w:uiPriority w:val="0"/>
    <w:rPr>
      <w:b/>
      <w:bCs/>
      <w:kern w:val="2"/>
      <w:sz w:val="21"/>
    </w:rPr>
  </w:style>
  <w:style w:type="paragraph" w:customStyle="1" w:styleId="15">
    <w:name w:val="List Paragraph"/>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5</Pages>
  <Words>2934</Words>
  <Characters>3002</Characters>
  <Lines>27</Lines>
  <Paragraphs>7</Paragraphs>
  <TotalTime>0</TotalTime>
  <ScaleCrop>false</ScaleCrop>
  <LinksUpToDate>false</LinksUpToDate>
  <CharactersWithSpaces>3689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2016-06-08T06:48:00Z</dcterms:created>
  <dc:creator>admin</dc:creator>
  <cp:lastModifiedBy>旅途</cp:lastModifiedBy>
  <cp:lastPrinted>2013-07-09T03:14:00Z</cp:lastPrinted>
  <dcterms:modified xsi:type="dcterms:W3CDTF">2024-09-30T07:09:00Z</dcterms:modified>
  <dc:title>国民经济学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372CC9F8C8A9493A8194BA70C8902402_13</vt:lpwstr>
  </property>
</Properties>
</file>